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45F1" w14:textId="77777777" w:rsidR="00157CF5" w:rsidRPr="006C664B" w:rsidRDefault="00157CF5" w:rsidP="006C6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entury" w:hAnsi="Century" w:cs="Century"/>
          <w:b/>
          <w:bCs/>
          <w:sz w:val="28"/>
          <w:szCs w:val="28"/>
          <w:lang w:eastAsia="en-US"/>
        </w:rPr>
      </w:pPr>
      <w:r w:rsidRPr="006C664B">
        <w:rPr>
          <w:rFonts w:ascii="Century" w:hAnsi="Century" w:cs="Century"/>
          <w:b/>
          <w:bCs/>
          <w:sz w:val="28"/>
          <w:szCs w:val="28"/>
          <w:lang w:eastAsia="en-US"/>
        </w:rPr>
        <w:t>Objaśnienia do Wieloletniej Prognozy Finansowej</w:t>
      </w:r>
    </w:p>
    <w:p w14:paraId="1A52F343" w14:textId="6A68BB7F" w:rsidR="00157CF5" w:rsidRPr="006C664B" w:rsidRDefault="00003DB9" w:rsidP="006C6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entury" w:hAnsi="Century" w:cs="Century"/>
          <w:b/>
          <w:bCs/>
          <w:sz w:val="28"/>
          <w:szCs w:val="28"/>
          <w:lang w:eastAsia="en-US"/>
        </w:rPr>
      </w:pPr>
      <w:r w:rsidRPr="006C664B">
        <w:rPr>
          <w:rFonts w:ascii="Century" w:hAnsi="Century" w:cs="Century"/>
          <w:b/>
          <w:bCs/>
          <w:sz w:val="28"/>
          <w:szCs w:val="28"/>
          <w:lang w:eastAsia="en-US"/>
        </w:rPr>
        <w:t xml:space="preserve">Gminy Trzciel </w:t>
      </w:r>
      <w:r w:rsidR="00157CF5" w:rsidRPr="006C664B">
        <w:rPr>
          <w:rFonts w:ascii="Century" w:hAnsi="Century" w:cs="Century"/>
          <w:b/>
          <w:bCs/>
          <w:sz w:val="28"/>
          <w:szCs w:val="28"/>
          <w:lang w:eastAsia="en-US"/>
        </w:rPr>
        <w:t>na lata 20</w:t>
      </w:r>
      <w:r w:rsidR="000C3BC3" w:rsidRPr="006C664B">
        <w:rPr>
          <w:rFonts w:ascii="Century" w:hAnsi="Century" w:cs="Century"/>
          <w:b/>
          <w:bCs/>
          <w:sz w:val="28"/>
          <w:szCs w:val="28"/>
          <w:lang w:eastAsia="en-US"/>
        </w:rPr>
        <w:t>2</w:t>
      </w:r>
      <w:r w:rsidR="005513FD" w:rsidRPr="006C664B">
        <w:rPr>
          <w:rFonts w:ascii="Century" w:hAnsi="Century" w:cs="Century"/>
          <w:b/>
          <w:bCs/>
          <w:sz w:val="28"/>
          <w:szCs w:val="28"/>
          <w:lang w:eastAsia="en-US"/>
        </w:rPr>
        <w:t>3</w:t>
      </w:r>
      <w:r w:rsidR="009E2AF5" w:rsidRPr="006C664B">
        <w:rPr>
          <w:rFonts w:ascii="Century" w:hAnsi="Century" w:cs="Century"/>
          <w:b/>
          <w:bCs/>
          <w:sz w:val="28"/>
          <w:szCs w:val="28"/>
          <w:lang w:eastAsia="en-US"/>
        </w:rPr>
        <w:t xml:space="preserve"> – </w:t>
      </w:r>
      <w:r w:rsidR="009F3580" w:rsidRPr="006C664B">
        <w:rPr>
          <w:rFonts w:ascii="Century" w:hAnsi="Century" w:cs="Century"/>
          <w:b/>
          <w:bCs/>
          <w:sz w:val="28"/>
          <w:szCs w:val="28"/>
          <w:lang w:eastAsia="en-US"/>
        </w:rPr>
        <w:t>20</w:t>
      </w:r>
      <w:r w:rsidR="000C3BC3" w:rsidRPr="006C664B">
        <w:rPr>
          <w:rFonts w:ascii="Century" w:hAnsi="Century" w:cs="Century"/>
          <w:b/>
          <w:bCs/>
          <w:sz w:val="28"/>
          <w:szCs w:val="28"/>
          <w:lang w:eastAsia="en-US"/>
        </w:rPr>
        <w:t>3</w:t>
      </w:r>
      <w:r w:rsidR="005513FD" w:rsidRPr="006C664B">
        <w:rPr>
          <w:rFonts w:ascii="Century" w:hAnsi="Century" w:cs="Century"/>
          <w:b/>
          <w:bCs/>
          <w:sz w:val="28"/>
          <w:szCs w:val="28"/>
          <w:lang w:eastAsia="en-US"/>
        </w:rPr>
        <w:t>8</w:t>
      </w:r>
      <w:r w:rsidR="00157CF5" w:rsidRPr="006C664B">
        <w:rPr>
          <w:rFonts w:ascii="Century" w:hAnsi="Century" w:cs="Century"/>
          <w:b/>
          <w:bCs/>
          <w:sz w:val="28"/>
          <w:szCs w:val="28"/>
          <w:lang w:eastAsia="en-US"/>
        </w:rPr>
        <w:t xml:space="preserve">   </w:t>
      </w:r>
    </w:p>
    <w:p w14:paraId="0B43523A" w14:textId="77777777" w:rsidR="00C93169" w:rsidRPr="006C664B" w:rsidRDefault="00C93169" w:rsidP="006C6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b/>
          <w:bCs/>
          <w:sz w:val="28"/>
          <w:szCs w:val="28"/>
          <w:lang w:eastAsia="en-US"/>
        </w:rPr>
      </w:pPr>
    </w:p>
    <w:p w14:paraId="30B62C73" w14:textId="77777777" w:rsidR="00157CF5" w:rsidRPr="005513FD" w:rsidRDefault="00157CF5" w:rsidP="000F6E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b/>
          <w:bCs/>
          <w:color w:val="FF0000"/>
          <w:sz w:val="18"/>
          <w:szCs w:val="18"/>
          <w:lang w:eastAsia="en-US"/>
        </w:rPr>
      </w:pPr>
    </w:p>
    <w:p w14:paraId="4BB5DCA0" w14:textId="6D8FF219" w:rsidR="007E56D3" w:rsidRPr="005513FD" w:rsidRDefault="002506D0" w:rsidP="005513FD">
      <w:pPr>
        <w:spacing w:line="360" w:lineRule="auto"/>
        <w:jc w:val="both"/>
        <w:rPr>
          <w:rFonts w:ascii="Century" w:hAnsi="Century"/>
          <w:sz w:val="20"/>
        </w:rPr>
      </w:pPr>
      <w:r w:rsidRPr="005513FD">
        <w:rPr>
          <w:rFonts w:ascii="Century" w:hAnsi="Century"/>
          <w:b/>
          <w:bCs/>
          <w:color w:val="FF0000"/>
          <w:sz w:val="20"/>
          <w:szCs w:val="20"/>
          <w:lang w:eastAsia="en-US"/>
        </w:rPr>
        <w:tab/>
      </w:r>
      <w:r w:rsidR="007E56D3" w:rsidRPr="005513FD">
        <w:rPr>
          <w:rFonts w:ascii="Century" w:hAnsi="Century"/>
          <w:sz w:val="20"/>
        </w:rPr>
        <w:t>Podstawą opracowania Wieloletniej Prognozy Finansowej Gminy Trzciel jest projekt uchwały budżetowej na 2023 rok, wartości planowane na koniec III kwartału 2022 roku, dane sprawozdawcze z wykonania budżetu Gminy Trzciel za lata 2021 i 2020 oraz Wytyczne Ministra Finansów dotyczące stosowania jednolitych wskaźników makroekonomicznych, będących podstawą oszacowania skutków finansowych projektowanych ustaw (aktualizacja – 3 października 2022 r.). W kolumnie pomocniczej dotyczącej przewidywanego wykonania w 2022 roku wprowadzono wartości, zgodnie z aktualnym planem budżetu Gminy Trzciel na dzień przygotowania projektu, z uwzględnieniem korekt w zakresie rzeczywistego wykonania budżetu w 2022 r</w:t>
      </w:r>
      <w:r w:rsidR="004830BE">
        <w:rPr>
          <w:rFonts w:ascii="Century" w:hAnsi="Century"/>
          <w:sz w:val="20"/>
        </w:rPr>
        <w:t>.</w:t>
      </w:r>
    </w:p>
    <w:p w14:paraId="1ADDCF1A" w14:textId="15C89956" w:rsidR="007E56D3" w:rsidRPr="005513FD" w:rsidRDefault="007E56D3" w:rsidP="005513FD">
      <w:pPr>
        <w:spacing w:line="360" w:lineRule="auto"/>
        <w:ind w:firstLine="708"/>
        <w:jc w:val="both"/>
        <w:rPr>
          <w:rFonts w:ascii="Century" w:hAnsi="Century"/>
          <w:sz w:val="20"/>
        </w:rPr>
      </w:pPr>
      <w:r w:rsidRPr="005513FD">
        <w:rPr>
          <w:rFonts w:ascii="Century" w:hAnsi="Century"/>
          <w:sz w:val="20"/>
        </w:rPr>
        <w:t>Art. 227 ust. 1 ustawy z dnia 27 sierpnia 2009 roku o finansach publicznych (tj. Dz. U. z 2022 r. poz. 1634 z późn.zm.)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w:t>
      </w:r>
    </w:p>
    <w:p w14:paraId="7BFCDFDB" w14:textId="17A18AD3" w:rsidR="000F6E76" w:rsidRDefault="007E56D3" w:rsidP="005513FD">
      <w:pPr>
        <w:spacing w:line="360" w:lineRule="auto"/>
        <w:ind w:firstLine="708"/>
        <w:jc w:val="both"/>
        <w:rPr>
          <w:rFonts w:ascii="Century" w:hAnsi="Century"/>
          <w:sz w:val="20"/>
        </w:rPr>
      </w:pPr>
      <w:r w:rsidRPr="005513FD">
        <w:rPr>
          <w:rFonts w:ascii="Century" w:hAnsi="Century"/>
          <w:sz w:val="20"/>
        </w:rPr>
        <w:t>Na dzień podjęcia uchwały, spłatę zobowiązań przewiduje się do roku 2038. Kwoty wydatków wynikające z limitów wydatków na przedsięwzięcia nie wykraczają poza okres prognozy kwoty długu. W związku z powyższym, Wieloletnia Prognoza Finansowa Gminy Trzciel została przygotowana na lata 2023-2038</w:t>
      </w:r>
      <w:r w:rsidR="003D15E1">
        <w:rPr>
          <w:rFonts w:ascii="Century" w:hAnsi="Century"/>
          <w:sz w:val="20"/>
        </w:rPr>
        <w:t>.</w:t>
      </w:r>
    </w:p>
    <w:p w14:paraId="42DEB88F" w14:textId="77777777" w:rsidR="00841CC1" w:rsidRPr="000770F6" w:rsidRDefault="00841CC1" w:rsidP="00841C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0770F6">
        <w:rPr>
          <w:rFonts w:ascii="Century" w:hAnsi="Century" w:cs="Century"/>
          <w:sz w:val="20"/>
          <w:szCs w:val="20"/>
          <w:lang w:eastAsia="en-US"/>
        </w:rPr>
        <w:t>Wieloletnią prognozę finansową Gminy Trzciel na lata 2023 – 2038 stanowi:</w:t>
      </w:r>
    </w:p>
    <w:p w14:paraId="755B2987" w14:textId="6F5FDD7B" w:rsidR="00841CC1" w:rsidRPr="000770F6" w:rsidRDefault="00841CC1" w:rsidP="00841CC1">
      <w:pPr>
        <w:pStyle w:val="Akapitzlist"/>
        <w:widowControl w:val="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0770F6">
        <w:rPr>
          <w:rFonts w:ascii="Century" w:hAnsi="Century" w:cs="Century"/>
          <w:sz w:val="20"/>
          <w:szCs w:val="20"/>
          <w:lang w:eastAsia="en-US"/>
        </w:rPr>
        <w:t>Wieloletnia prognoza finansowa jednostki samorządu terytorialnego - załącznik nr 1,</w:t>
      </w:r>
    </w:p>
    <w:p w14:paraId="04FEED35" w14:textId="762EEEFA" w:rsidR="00841CC1" w:rsidRPr="00841CC1" w:rsidRDefault="00841CC1" w:rsidP="00841CC1">
      <w:pPr>
        <w:pStyle w:val="Akapitzlist"/>
        <w:widowControl w:val="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0770F6">
        <w:rPr>
          <w:rFonts w:ascii="Century" w:hAnsi="Century" w:cs="Century"/>
          <w:sz w:val="20"/>
          <w:szCs w:val="20"/>
          <w:lang w:eastAsia="en-US"/>
        </w:rPr>
        <w:t>Wykaz przedsięwzięć do WPF - załącznik nr 2.</w:t>
      </w:r>
    </w:p>
    <w:p w14:paraId="083E69EE" w14:textId="77777777" w:rsidR="007E56D3" w:rsidRPr="002E0605" w:rsidRDefault="007E56D3" w:rsidP="007E56D3">
      <w:pPr>
        <w:pStyle w:val="Nagwek1"/>
        <w:keepNext/>
        <w:spacing w:after="160"/>
        <w:rPr>
          <w:rFonts w:ascii="Century" w:hAnsi="Century" w:cs="Calibri"/>
          <w:b/>
          <w:bCs w:val="0"/>
          <w:szCs w:val="22"/>
        </w:rPr>
      </w:pPr>
      <w:r w:rsidRPr="002E0605">
        <w:rPr>
          <w:rFonts w:ascii="Century" w:hAnsi="Century"/>
          <w:b/>
          <w:bCs w:val="0"/>
          <w:szCs w:val="22"/>
        </w:rPr>
        <w:t>Założenia makroekonomiczne</w:t>
      </w:r>
    </w:p>
    <w:p w14:paraId="4698727E" w14:textId="77777777" w:rsidR="007E56D3" w:rsidRPr="002E0605" w:rsidRDefault="007E56D3" w:rsidP="007E56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2E0605">
        <w:rPr>
          <w:rFonts w:ascii="Century" w:hAnsi="Century" w:cs="Century"/>
          <w:sz w:val="20"/>
          <w:szCs w:val="20"/>
          <w:lang w:eastAsia="en-US"/>
        </w:rPr>
        <w:t>Zgodnie z wytycznymi Ministra Finansów dotyczącymi założeń makroekonomicznych na potrzeby wieloletnich prognoz finansowych jednostek samorządu terytorialnego przyjęto następujące wskaźniki średniorocznej dynamiki cen towarów i usług konsumpcyjnych:</w:t>
      </w:r>
    </w:p>
    <w:p w14:paraId="616D1BB8" w14:textId="6BDE2C00" w:rsidR="007E56D3" w:rsidRPr="002E0605" w:rsidRDefault="007E56D3" w:rsidP="007E56D3">
      <w:pPr>
        <w:pStyle w:val="Akapitzlist"/>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2E0605">
        <w:rPr>
          <w:rFonts w:ascii="Century" w:hAnsi="Century" w:cs="Century"/>
          <w:sz w:val="20"/>
          <w:szCs w:val="20"/>
          <w:lang w:eastAsia="en-US"/>
        </w:rPr>
        <w:t>dla 202</w:t>
      </w:r>
      <w:r w:rsidR="002E0605" w:rsidRPr="002E0605">
        <w:rPr>
          <w:rFonts w:ascii="Century" w:hAnsi="Century" w:cs="Century"/>
          <w:sz w:val="20"/>
          <w:szCs w:val="20"/>
          <w:lang w:eastAsia="en-US"/>
        </w:rPr>
        <w:t>4</w:t>
      </w:r>
      <w:r w:rsidRPr="002E0605">
        <w:rPr>
          <w:rFonts w:ascii="Century" w:hAnsi="Century" w:cs="Century"/>
          <w:sz w:val="20"/>
          <w:szCs w:val="20"/>
          <w:lang w:eastAsia="en-US"/>
        </w:rPr>
        <w:t xml:space="preserve"> r. </w:t>
      </w:r>
      <w:r w:rsidR="002E0605" w:rsidRPr="002E0605">
        <w:rPr>
          <w:rFonts w:ascii="Century" w:hAnsi="Century" w:cs="Century"/>
          <w:sz w:val="20"/>
          <w:szCs w:val="20"/>
          <w:lang w:eastAsia="en-US"/>
        </w:rPr>
        <w:t>-</w:t>
      </w:r>
      <w:r w:rsidRPr="002E0605">
        <w:rPr>
          <w:rFonts w:ascii="Century" w:hAnsi="Century" w:cs="Century"/>
          <w:sz w:val="20"/>
          <w:szCs w:val="20"/>
          <w:lang w:eastAsia="en-US"/>
        </w:rPr>
        <w:t xml:space="preserve"> </w:t>
      </w:r>
      <w:r w:rsidR="002E0605" w:rsidRPr="002E0605">
        <w:rPr>
          <w:rFonts w:ascii="Century" w:hAnsi="Century" w:cs="Century"/>
          <w:sz w:val="20"/>
          <w:szCs w:val="20"/>
          <w:lang w:eastAsia="en-US"/>
        </w:rPr>
        <w:t>104,8</w:t>
      </w:r>
      <w:r w:rsidRPr="002E0605">
        <w:rPr>
          <w:rFonts w:ascii="Century" w:hAnsi="Century" w:cs="Century"/>
          <w:sz w:val="20"/>
          <w:szCs w:val="20"/>
          <w:lang w:eastAsia="en-US"/>
        </w:rPr>
        <w:t>%,</w:t>
      </w:r>
    </w:p>
    <w:p w14:paraId="31CD5AC7" w14:textId="56203C2E" w:rsidR="007E56D3" w:rsidRPr="002E0605" w:rsidRDefault="007E56D3" w:rsidP="007E56D3">
      <w:pPr>
        <w:pStyle w:val="Akapitzlist"/>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2E0605">
        <w:rPr>
          <w:rFonts w:ascii="Century" w:hAnsi="Century" w:cs="Century"/>
          <w:sz w:val="20"/>
          <w:szCs w:val="20"/>
          <w:lang w:eastAsia="en-US"/>
        </w:rPr>
        <w:t>dla 202</w:t>
      </w:r>
      <w:r w:rsidR="002E0605" w:rsidRPr="002E0605">
        <w:rPr>
          <w:rFonts w:ascii="Century" w:hAnsi="Century" w:cs="Century"/>
          <w:sz w:val="20"/>
          <w:szCs w:val="20"/>
          <w:lang w:eastAsia="en-US"/>
        </w:rPr>
        <w:t>5</w:t>
      </w:r>
      <w:r w:rsidRPr="002E0605">
        <w:rPr>
          <w:rFonts w:ascii="Century" w:hAnsi="Century" w:cs="Century"/>
          <w:sz w:val="20"/>
          <w:szCs w:val="20"/>
          <w:lang w:eastAsia="en-US"/>
        </w:rPr>
        <w:t xml:space="preserve"> r. - 10</w:t>
      </w:r>
      <w:r w:rsidR="002E0605" w:rsidRPr="002E0605">
        <w:rPr>
          <w:rFonts w:ascii="Century" w:hAnsi="Century" w:cs="Century"/>
          <w:sz w:val="20"/>
          <w:szCs w:val="20"/>
          <w:lang w:eastAsia="en-US"/>
        </w:rPr>
        <w:t>3</w:t>
      </w:r>
      <w:r w:rsidRPr="002E0605">
        <w:rPr>
          <w:rFonts w:ascii="Century" w:hAnsi="Century" w:cs="Century"/>
          <w:sz w:val="20"/>
          <w:szCs w:val="20"/>
          <w:lang w:eastAsia="en-US"/>
        </w:rPr>
        <w:t>,</w:t>
      </w:r>
      <w:r w:rsidR="002E0605" w:rsidRPr="002E0605">
        <w:rPr>
          <w:rFonts w:ascii="Century" w:hAnsi="Century" w:cs="Century"/>
          <w:sz w:val="20"/>
          <w:szCs w:val="20"/>
          <w:lang w:eastAsia="en-US"/>
        </w:rPr>
        <w:t>1</w:t>
      </w:r>
      <w:r w:rsidRPr="002E0605">
        <w:rPr>
          <w:rFonts w:ascii="Century" w:hAnsi="Century" w:cs="Century"/>
          <w:sz w:val="20"/>
          <w:szCs w:val="20"/>
          <w:lang w:eastAsia="en-US"/>
        </w:rPr>
        <w:t>%,</w:t>
      </w:r>
    </w:p>
    <w:p w14:paraId="7131B95C" w14:textId="6DF2937C" w:rsidR="007E56D3" w:rsidRPr="002E0605" w:rsidRDefault="007E56D3" w:rsidP="000F6E76">
      <w:pPr>
        <w:pStyle w:val="Akapitzlist"/>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2E0605">
        <w:rPr>
          <w:rFonts w:ascii="Century" w:hAnsi="Century" w:cs="Century"/>
          <w:sz w:val="20"/>
          <w:szCs w:val="20"/>
          <w:lang w:eastAsia="en-US"/>
        </w:rPr>
        <w:t>na lata 202</w:t>
      </w:r>
      <w:r w:rsidR="002E0605" w:rsidRPr="002E0605">
        <w:rPr>
          <w:rFonts w:ascii="Century" w:hAnsi="Century" w:cs="Century"/>
          <w:sz w:val="20"/>
          <w:szCs w:val="20"/>
          <w:lang w:eastAsia="en-US"/>
        </w:rPr>
        <w:t>6</w:t>
      </w:r>
      <w:r w:rsidRPr="002E0605">
        <w:rPr>
          <w:rFonts w:ascii="Century" w:hAnsi="Century" w:cs="Century"/>
          <w:sz w:val="20"/>
          <w:szCs w:val="20"/>
          <w:lang w:eastAsia="en-US"/>
        </w:rPr>
        <w:t xml:space="preserve"> - 203</w:t>
      </w:r>
      <w:r w:rsidR="002E0605" w:rsidRPr="002E0605">
        <w:rPr>
          <w:rFonts w:ascii="Century" w:hAnsi="Century" w:cs="Century"/>
          <w:sz w:val="20"/>
          <w:szCs w:val="20"/>
          <w:lang w:eastAsia="en-US"/>
        </w:rPr>
        <w:t>8</w:t>
      </w:r>
      <w:r w:rsidRPr="002E0605">
        <w:rPr>
          <w:rFonts w:ascii="Century" w:hAnsi="Century" w:cs="Century"/>
          <w:sz w:val="20"/>
          <w:szCs w:val="20"/>
          <w:lang w:eastAsia="en-US"/>
        </w:rPr>
        <w:t xml:space="preserve"> - 102,5 %.</w:t>
      </w:r>
    </w:p>
    <w:p w14:paraId="2FB314AA" w14:textId="77777777" w:rsidR="002506D0" w:rsidRPr="002E0605" w:rsidRDefault="00157CF5" w:rsidP="000F6E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2E0605">
        <w:rPr>
          <w:rFonts w:ascii="Century" w:hAnsi="Century" w:cs="Century"/>
          <w:sz w:val="20"/>
          <w:szCs w:val="20"/>
          <w:lang w:eastAsia="en-US"/>
        </w:rPr>
        <w:t xml:space="preserve">            </w:t>
      </w:r>
      <w:r w:rsidR="002506D0" w:rsidRPr="002E0605">
        <w:rPr>
          <w:rFonts w:ascii="Century" w:hAnsi="Century" w:cs="Century"/>
          <w:sz w:val="20"/>
          <w:szCs w:val="20"/>
          <w:lang w:eastAsia="en-US"/>
        </w:rPr>
        <w:t>Do wyliczenia</w:t>
      </w:r>
      <w:r w:rsidR="00D32D4F" w:rsidRPr="002E0605">
        <w:rPr>
          <w:rFonts w:ascii="Century" w:hAnsi="Century" w:cs="Century"/>
          <w:sz w:val="20"/>
          <w:szCs w:val="20"/>
          <w:lang w:eastAsia="en-US"/>
        </w:rPr>
        <w:t xml:space="preserve"> poszczególnych wartości podanych w wieloletniej prognozie finansowej przyjęto następujące założenia:</w:t>
      </w:r>
    </w:p>
    <w:p w14:paraId="042C8B3D" w14:textId="3BB87FDC" w:rsidR="00D32D4F" w:rsidRPr="002E0605" w:rsidRDefault="00315731" w:rsidP="000F6E76">
      <w:pPr>
        <w:pStyle w:val="Akapitzlist"/>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2E0605">
        <w:rPr>
          <w:rFonts w:ascii="Century" w:hAnsi="Century" w:cs="Century"/>
          <w:sz w:val="20"/>
          <w:szCs w:val="20"/>
          <w:lang w:eastAsia="en-US"/>
        </w:rPr>
        <w:t>dla roku 20</w:t>
      </w:r>
      <w:r w:rsidR="00543E17" w:rsidRPr="002E0605">
        <w:rPr>
          <w:rFonts w:ascii="Century" w:hAnsi="Century" w:cs="Century"/>
          <w:sz w:val="20"/>
          <w:szCs w:val="20"/>
          <w:lang w:eastAsia="en-US"/>
        </w:rPr>
        <w:t>2</w:t>
      </w:r>
      <w:r w:rsidR="002E0605" w:rsidRPr="002E0605">
        <w:rPr>
          <w:rFonts w:ascii="Century" w:hAnsi="Century" w:cs="Century"/>
          <w:sz w:val="20"/>
          <w:szCs w:val="20"/>
          <w:lang w:eastAsia="en-US"/>
        </w:rPr>
        <w:t>3</w:t>
      </w:r>
      <w:r w:rsidR="00D32D4F" w:rsidRPr="002E0605">
        <w:rPr>
          <w:rFonts w:ascii="Century" w:hAnsi="Century" w:cs="Century"/>
          <w:sz w:val="20"/>
          <w:szCs w:val="20"/>
          <w:lang w:eastAsia="en-US"/>
        </w:rPr>
        <w:t xml:space="preserve"> podano wartości zgodnie z projektem uchwały budżetowej,</w:t>
      </w:r>
    </w:p>
    <w:p w14:paraId="3BE64F98" w14:textId="40799E11" w:rsidR="00D32D4F" w:rsidRPr="002E0605" w:rsidRDefault="00D32D4F" w:rsidP="000F6E76">
      <w:pPr>
        <w:pStyle w:val="Akapitzlist"/>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2E0605">
        <w:rPr>
          <w:rFonts w:ascii="Century" w:hAnsi="Century" w:cs="Century"/>
          <w:sz w:val="20"/>
          <w:szCs w:val="20"/>
          <w:lang w:eastAsia="en-US"/>
        </w:rPr>
        <w:t>dla lat 20</w:t>
      </w:r>
      <w:r w:rsidR="00465064" w:rsidRPr="002E0605">
        <w:rPr>
          <w:rFonts w:ascii="Century" w:hAnsi="Century" w:cs="Century"/>
          <w:sz w:val="20"/>
          <w:szCs w:val="20"/>
          <w:lang w:eastAsia="en-US"/>
        </w:rPr>
        <w:t>2</w:t>
      </w:r>
      <w:r w:rsidR="002E0605" w:rsidRPr="002E0605">
        <w:rPr>
          <w:rFonts w:ascii="Century" w:hAnsi="Century" w:cs="Century"/>
          <w:sz w:val="20"/>
          <w:szCs w:val="20"/>
          <w:lang w:eastAsia="en-US"/>
        </w:rPr>
        <w:t>4</w:t>
      </w:r>
      <w:r w:rsidRPr="002E0605">
        <w:rPr>
          <w:rFonts w:ascii="Century" w:hAnsi="Century" w:cs="Century"/>
          <w:sz w:val="20"/>
          <w:szCs w:val="20"/>
          <w:lang w:eastAsia="en-US"/>
        </w:rPr>
        <w:t xml:space="preserve"> - </w:t>
      </w:r>
      <w:r w:rsidR="00465064" w:rsidRPr="002E0605">
        <w:rPr>
          <w:rFonts w:ascii="Century" w:hAnsi="Century" w:cs="Century"/>
          <w:sz w:val="20"/>
          <w:szCs w:val="20"/>
          <w:lang w:eastAsia="en-US"/>
        </w:rPr>
        <w:t>203</w:t>
      </w:r>
      <w:r w:rsidR="002E0605" w:rsidRPr="002E0605">
        <w:rPr>
          <w:rFonts w:ascii="Century" w:hAnsi="Century" w:cs="Century"/>
          <w:sz w:val="20"/>
          <w:szCs w:val="20"/>
          <w:lang w:eastAsia="en-US"/>
        </w:rPr>
        <w:t>8</w:t>
      </w:r>
      <w:r w:rsidRPr="002E0605">
        <w:rPr>
          <w:rFonts w:ascii="Century" w:hAnsi="Century" w:cs="Century"/>
          <w:sz w:val="20"/>
          <w:szCs w:val="20"/>
          <w:lang w:eastAsia="en-US"/>
        </w:rPr>
        <w:t xml:space="preserve"> w zakresie planu dochodów bieżących przyjęto indeksację o wskaźnik CPI</w:t>
      </w:r>
      <w:r w:rsidR="00734BC0" w:rsidRPr="002E0605">
        <w:rPr>
          <w:rFonts w:ascii="Century" w:hAnsi="Century" w:cs="Century"/>
          <w:sz w:val="20"/>
          <w:szCs w:val="20"/>
          <w:lang w:eastAsia="en-US"/>
        </w:rPr>
        <w:t xml:space="preserve"> (średnioroczna dynamika cen towarów i usług konsumpcyjnych)</w:t>
      </w:r>
      <w:r w:rsidRPr="002E0605">
        <w:rPr>
          <w:rFonts w:ascii="Century" w:hAnsi="Century" w:cs="Century"/>
          <w:sz w:val="20"/>
          <w:szCs w:val="20"/>
          <w:lang w:eastAsia="en-US"/>
        </w:rPr>
        <w:t>, gd</w:t>
      </w:r>
      <w:r w:rsidR="00465064" w:rsidRPr="002E0605">
        <w:rPr>
          <w:rFonts w:ascii="Century" w:hAnsi="Century" w:cs="Century"/>
          <w:sz w:val="20"/>
          <w:szCs w:val="20"/>
          <w:lang w:eastAsia="en-US"/>
        </w:rPr>
        <w:t>zie rokiem bazowym dla roku 20</w:t>
      </w:r>
      <w:r w:rsidR="00543E17" w:rsidRPr="002E0605">
        <w:rPr>
          <w:rFonts w:ascii="Century" w:hAnsi="Century" w:cs="Century"/>
          <w:sz w:val="20"/>
          <w:szCs w:val="20"/>
          <w:lang w:eastAsia="en-US"/>
        </w:rPr>
        <w:t>2</w:t>
      </w:r>
      <w:r w:rsidR="002E0605" w:rsidRPr="002E0605">
        <w:rPr>
          <w:rFonts w:ascii="Century" w:hAnsi="Century" w:cs="Century"/>
          <w:sz w:val="20"/>
          <w:szCs w:val="20"/>
          <w:lang w:eastAsia="en-US"/>
        </w:rPr>
        <w:t>4</w:t>
      </w:r>
      <w:r w:rsidR="009F3580" w:rsidRPr="002E0605">
        <w:rPr>
          <w:rFonts w:ascii="Century" w:hAnsi="Century" w:cs="Century"/>
          <w:sz w:val="20"/>
          <w:szCs w:val="20"/>
          <w:lang w:eastAsia="en-US"/>
        </w:rPr>
        <w:t xml:space="preserve"> jest rok 20</w:t>
      </w:r>
      <w:r w:rsidR="00543E17" w:rsidRPr="002E0605">
        <w:rPr>
          <w:rFonts w:ascii="Century" w:hAnsi="Century" w:cs="Century"/>
          <w:sz w:val="20"/>
          <w:szCs w:val="20"/>
          <w:lang w:eastAsia="en-US"/>
        </w:rPr>
        <w:t>2</w:t>
      </w:r>
      <w:r w:rsidR="002E0605" w:rsidRPr="002E0605">
        <w:rPr>
          <w:rFonts w:ascii="Century" w:hAnsi="Century" w:cs="Century"/>
          <w:sz w:val="20"/>
          <w:szCs w:val="20"/>
          <w:lang w:eastAsia="en-US"/>
        </w:rPr>
        <w:t>3</w:t>
      </w:r>
      <w:r w:rsidRPr="002E0605">
        <w:rPr>
          <w:rFonts w:ascii="Century" w:hAnsi="Century" w:cs="Century"/>
          <w:sz w:val="20"/>
          <w:szCs w:val="20"/>
          <w:lang w:eastAsia="en-US"/>
        </w:rPr>
        <w:t xml:space="preserve">, a dla lat następnych </w:t>
      </w:r>
      <w:r w:rsidR="00734BC0" w:rsidRPr="002E0605">
        <w:rPr>
          <w:rFonts w:ascii="Century" w:hAnsi="Century" w:cs="Century"/>
          <w:sz w:val="20"/>
          <w:szCs w:val="20"/>
          <w:lang w:eastAsia="en-US"/>
        </w:rPr>
        <w:t xml:space="preserve">rok poprzedzający rok </w:t>
      </w:r>
      <w:r w:rsidR="00734BC0" w:rsidRPr="002E0605">
        <w:rPr>
          <w:rFonts w:ascii="Century" w:hAnsi="Century" w:cs="Century"/>
          <w:sz w:val="20"/>
          <w:szCs w:val="20"/>
          <w:lang w:eastAsia="en-US"/>
        </w:rPr>
        <w:lastRenderedPageBreak/>
        <w:t>budżetowy. W zakresie planu wydatków bieżących oraz dochodów i wydatków majątkowych przyjęto odrębne prognozowanie.</w:t>
      </w:r>
    </w:p>
    <w:p w14:paraId="24A7F3FD" w14:textId="77777777" w:rsidR="007E56D3" w:rsidRPr="009C0701" w:rsidRDefault="007E56D3" w:rsidP="009C0701">
      <w:pPr>
        <w:pStyle w:val="Nagwek1"/>
        <w:keepNext/>
        <w:spacing w:after="160" w:line="360" w:lineRule="auto"/>
        <w:rPr>
          <w:rFonts w:ascii="Century" w:hAnsi="Century" w:cs="Calibri"/>
          <w:b/>
          <w:bCs w:val="0"/>
          <w:sz w:val="22"/>
          <w:szCs w:val="22"/>
        </w:rPr>
      </w:pPr>
      <w:r w:rsidRPr="009C0701">
        <w:rPr>
          <w:rFonts w:ascii="Century" w:hAnsi="Century"/>
          <w:b/>
          <w:bCs w:val="0"/>
          <w:sz w:val="22"/>
          <w:szCs w:val="22"/>
        </w:rPr>
        <w:t>1. Dochody</w:t>
      </w:r>
    </w:p>
    <w:p w14:paraId="5A47FDC9" w14:textId="77777777" w:rsidR="007E56D3" w:rsidRPr="009C0701" w:rsidRDefault="007E56D3" w:rsidP="00411517">
      <w:pPr>
        <w:spacing w:line="360" w:lineRule="auto"/>
        <w:jc w:val="both"/>
        <w:rPr>
          <w:rFonts w:ascii="Century" w:hAnsi="Century" w:cs="Calibri"/>
          <w:sz w:val="20"/>
          <w:szCs w:val="20"/>
        </w:rPr>
      </w:pPr>
      <w:r w:rsidRPr="009C0701">
        <w:rPr>
          <w:rFonts w:ascii="Century" w:hAnsi="Century"/>
          <w:sz w:val="20"/>
          <w:szCs w:val="20"/>
        </w:rPr>
        <w:t>Prognozy dochodów Gminy Trzciel dokonano w podziałach merytorycznych, a następnie sklasyfikowano w podziały wymagane ustawowo. Podział merytoryczny został sporządzony za pomocą paragrafów klasyfikacji budżetowej i objął dochody bieżące i majątkowe.</w:t>
      </w:r>
    </w:p>
    <w:p w14:paraId="16DFEFCC" w14:textId="77777777" w:rsidR="007E56D3" w:rsidRPr="009C0701" w:rsidRDefault="007E56D3" w:rsidP="00411517">
      <w:pPr>
        <w:spacing w:line="360" w:lineRule="auto"/>
        <w:jc w:val="both"/>
        <w:rPr>
          <w:rFonts w:ascii="Century" w:hAnsi="Century" w:cs="Calibri"/>
          <w:sz w:val="20"/>
          <w:szCs w:val="20"/>
        </w:rPr>
      </w:pPr>
      <w:r w:rsidRPr="009C0701">
        <w:rPr>
          <w:rFonts w:ascii="Century" w:hAnsi="Century"/>
          <w:sz w:val="20"/>
          <w:szCs w:val="20"/>
        </w:rPr>
        <w:t>Dochody bieżące prognozowano w podziale na:</w:t>
      </w:r>
    </w:p>
    <w:p w14:paraId="27FF2E8A" w14:textId="77777777" w:rsidR="007E56D3" w:rsidRPr="009C0701" w:rsidRDefault="007E56D3" w:rsidP="00411517">
      <w:pPr>
        <w:pStyle w:val="Akapitzlist"/>
        <w:widowControl w:val="0"/>
        <w:numPr>
          <w:ilvl w:val="0"/>
          <w:numId w:val="13"/>
        </w:numPr>
        <w:autoSpaceDE w:val="0"/>
        <w:autoSpaceDN w:val="0"/>
        <w:adjustRightInd w:val="0"/>
        <w:spacing w:after="160" w:line="360" w:lineRule="auto"/>
        <w:jc w:val="both"/>
        <w:rPr>
          <w:rFonts w:ascii="Century" w:hAnsi="Century" w:cs="Calibri"/>
          <w:sz w:val="20"/>
          <w:szCs w:val="20"/>
        </w:rPr>
      </w:pPr>
      <w:r w:rsidRPr="009C0701">
        <w:rPr>
          <w:rFonts w:ascii="Century" w:hAnsi="Century"/>
          <w:sz w:val="20"/>
          <w:szCs w:val="20"/>
        </w:rPr>
        <w:t>dochody z tytułu udziału we wpływach z podatku dochodowego od osób fizycznych;</w:t>
      </w:r>
    </w:p>
    <w:p w14:paraId="03A93E47" w14:textId="77777777" w:rsidR="007E56D3" w:rsidRPr="009C0701" w:rsidRDefault="007E56D3" w:rsidP="00411517">
      <w:pPr>
        <w:pStyle w:val="Akapitzlist"/>
        <w:widowControl w:val="0"/>
        <w:numPr>
          <w:ilvl w:val="0"/>
          <w:numId w:val="13"/>
        </w:numPr>
        <w:autoSpaceDE w:val="0"/>
        <w:autoSpaceDN w:val="0"/>
        <w:adjustRightInd w:val="0"/>
        <w:spacing w:after="160" w:line="360" w:lineRule="auto"/>
        <w:jc w:val="both"/>
        <w:rPr>
          <w:rFonts w:ascii="Century" w:hAnsi="Century" w:cs="Calibri"/>
          <w:sz w:val="20"/>
          <w:szCs w:val="20"/>
        </w:rPr>
      </w:pPr>
      <w:r w:rsidRPr="009C0701">
        <w:rPr>
          <w:rFonts w:ascii="Century" w:hAnsi="Century"/>
          <w:sz w:val="20"/>
          <w:szCs w:val="20"/>
        </w:rPr>
        <w:t>dochody z tytułu udziału we wpływach z podatku dochodowego od osób prawnych;</w:t>
      </w:r>
    </w:p>
    <w:p w14:paraId="0EC6CA9D" w14:textId="77777777" w:rsidR="007E56D3" w:rsidRPr="009C0701" w:rsidRDefault="007E56D3" w:rsidP="00411517">
      <w:pPr>
        <w:pStyle w:val="Akapitzlist"/>
        <w:widowControl w:val="0"/>
        <w:numPr>
          <w:ilvl w:val="0"/>
          <w:numId w:val="13"/>
        </w:numPr>
        <w:autoSpaceDE w:val="0"/>
        <w:autoSpaceDN w:val="0"/>
        <w:adjustRightInd w:val="0"/>
        <w:spacing w:after="160" w:line="360" w:lineRule="auto"/>
        <w:jc w:val="both"/>
        <w:rPr>
          <w:rFonts w:ascii="Century" w:hAnsi="Century" w:cs="Calibri"/>
          <w:sz w:val="20"/>
          <w:szCs w:val="20"/>
        </w:rPr>
      </w:pPr>
      <w:r w:rsidRPr="009C0701">
        <w:rPr>
          <w:rFonts w:ascii="Century" w:hAnsi="Century"/>
          <w:sz w:val="20"/>
          <w:szCs w:val="20"/>
        </w:rPr>
        <w:t>subwencję ogólną;</w:t>
      </w:r>
    </w:p>
    <w:p w14:paraId="7B57B1F0" w14:textId="77777777" w:rsidR="007E56D3" w:rsidRPr="009C0701" w:rsidRDefault="007E56D3" w:rsidP="00411517">
      <w:pPr>
        <w:pStyle w:val="Akapitzlist"/>
        <w:widowControl w:val="0"/>
        <w:numPr>
          <w:ilvl w:val="0"/>
          <w:numId w:val="13"/>
        </w:numPr>
        <w:autoSpaceDE w:val="0"/>
        <w:autoSpaceDN w:val="0"/>
        <w:adjustRightInd w:val="0"/>
        <w:spacing w:after="160" w:line="360" w:lineRule="auto"/>
        <w:jc w:val="both"/>
        <w:rPr>
          <w:rFonts w:ascii="Century" w:hAnsi="Century" w:cs="Calibri"/>
          <w:sz w:val="20"/>
          <w:szCs w:val="20"/>
        </w:rPr>
      </w:pPr>
      <w:r w:rsidRPr="009C0701">
        <w:rPr>
          <w:rFonts w:ascii="Century" w:hAnsi="Century"/>
          <w:sz w:val="20"/>
          <w:szCs w:val="20"/>
        </w:rPr>
        <w:t>dotacje i środki przeznaczone na cele bieżące;</w:t>
      </w:r>
    </w:p>
    <w:p w14:paraId="6E523A46" w14:textId="1244AAD8" w:rsidR="007E56D3" w:rsidRPr="009C0701" w:rsidRDefault="007E56D3" w:rsidP="00411517">
      <w:pPr>
        <w:pStyle w:val="Akapitzlist"/>
        <w:widowControl w:val="0"/>
        <w:numPr>
          <w:ilvl w:val="0"/>
          <w:numId w:val="13"/>
        </w:numPr>
        <w:autoSpaceDE w:val="0"/>
        <w:autoSpaceDN w:val="0"/>
        <w:adjustRightInd w:val="0"/>
        <w:spacing w:after="160" w:line="360" w:lineRule="auto"/>
        <w:jc w:val="both"/>
        <w:rPr>
          <w:rFonts w:ascii="Century" w:hAnsi="Century" w:cs="Calibri"/>
          <w:sz w:val="20"/>
          <w:szCs w:val="20"/>
        </w:rPr>
      </w:pPr>
      <w:r w:rsidRPr="009C0701">
        <w:rPr>
          <w:rFonts w:ascii="Century" w:hAnsi="Century"/>
          <w:sz w:val="20"/>
          <w:szCs w:val="20"/>
        </w:rPr>
        <w:t>pozostałe dochody (m. in.: podatki i opłaty lokalne, wpływy z usług, odsetki od środków na rachunkach bankowych), w tym: z podatku od nieruchomości.</w:t>
      </w:r>
    </w:p>
    <w:p w14:paraId="63927375" w14:textId="77777777" w:rsidR="007E56D3" w:rsidRPr="009C0701" w:rsidRDefault="007E56D3" w:rsidP="00411517">
      <w:pPr>
        <w:spacing w:line="360" w:lineRule="auto"/>
        <w:jc w:val="both"/>
        <w:rPr>
          <w:rFonts w:ascii="Century" w:hAnsi="Century" w:cs="Calibri"/>
          <w:sz w:val="20"/>
          <w:szCs w:val="20"/>
        </w:rPr>
      </w:pPr>
      <w:r w:rsidRPr="009C0701">
        <w:rPr>
          <w:rFonts w:ascii="Century" w:hAnsi="Century"/>
          <w:sz w:val="20"/>
          <w:szCs w:val="20"/>
        </w:rPr>
        <w:t>Dochody majątkowe prognozowano w podziale na:</w:t>
      </w:r>
    </w:p>
    <w:p w14:paraId="04643C3B" w14:textId="77777777" w:rsidR="007E56D3" w:rsidRPr="009C0701" w:rsidRDefault="007E56D3" w:rsidP="00411517">
      <w:pPr>
        <w:pStyle w:val="Akapitzlist"/>
        <w:widowControl w:val="0"/>
        <w:numPr>
          <w:ilvl w:val="0"/>
          <w:numId w:val="14"/>
        </w:numPr>
        <w:autoSpaceDE w:val="0"/>
        <w:autoSpaceDN w:val="0"/>
        <w:adjustRightInd w:val="0"/>
        <w:spacing w:after="160" w:line="360" w:lineRule="auto"/>
        <w:jc w:val="both"/>
        <w:rPr>
          <w:rFonts w:ascii="Century" w:hAnsi="Century" w:cs="Calibri"/>
          <w:sz w:val="20"/>
          <w:szCs w:val="20"/>
        </w:rPr>
      </w:pPr>
      <w:r w:rsidRPr="009C0701">
        <w:rPr>
          <w:rFonts w:ascii="Century" w:hAnsi="Century"/>
          <w:sz w:val="20"/>
          <w:szCs w:val="20"/>
        </w:rPr>
        <w:t>dochody ze sprzedaży majątku;</w:t>
      </w:r>
    </w:p>
    <w:p w14:paraId="1467460E" w14:textId="77777777" w:rsidR="007E56D3" w:rsidRPr="009C0701" w:rsidRDefault="007E56D3" w:rsidP="00411517">
      <w:pPr>
        <w:pStyle w:val="Akapitzlist"/>
        <w:widowControl w:val="0"/>
        <w:numPr>
          <w:ilvl w:val="0"/>
          <w:numId w:val="14"/>
        </w:numPr>
        <w:autoSpaceDE w:val="0"/>
        <w:autoSpaceDN w:val="0"/>
        <w:adjustRightInd w:val="0"/>
        <w:spacing w:after="160" w:line="360" w:lineRule="auto"/>
        <w:jc w:val="both"/>
        <w:rPr>
          <w:rFonts w:ascii="Century" w:hAnsi="Century" w:cs="Calibri"/>
          <w:sz w:val="20"/>
          <w:szCs w:val="20"/>
        </w:rPr>
      </w:pPr>
      <w:r w:rsidRPr="009C0701">
        <w:rPr>
          <w:rFonts w:ascii="Century" w:hAnsi="Century"/>
          <w:sz w:val="20"/>
          <w:szCs w:val="20"/>
        </w:rPr>
        <w:t>dotacje i środki przeznaczone na inwestycje.</w:t>
      </w:r>
    </w:p>
    <w:p w14:paraId="58F7376A" w14:textId="77777777" w:rsidR="007E56D3" w:rsidRPr="00411517" w:rsidRDefault="007E56D3" w:rsidP="00411517">
      <w:pPr>
        <w:pStyle w:val="Nagwek2"/>
        <w:spacing w:after="160" w:line="360" w:lineRule="auto"/>
        <w:jc w:val="both"/>
        <w:rPr>
          <w:rFonts w:ascii="Century" w:hAnsi="Century" w:cs="Calibri"/>
          <w:b/>
          <w:bCs/>
          <w:color w:val="auto"/>
          <w:sz w:val="22"/>
          <w:szCs w:val="22"/>
        </w:rPr>
      </w:pPr>
      <w:r w:rsidRPr="00411517">
        <w:rPr>
          <w:rFonts w:ascii="Century" w:hAnsi="Century"/>
          <w:b/>
          <w:bCs/>
          <w:color w:val="auto"/>
          <w:sz w:val="22"/>
          <w:szCs w:val="22"/>
        </w:rPr>
        <w:t>1.1. Dochody bieżące</w:t>
      </w:r>
    </w:p>
    <w:p w14:paraId="0AC4A4B2" w14:textId="684AC0A5" w:rsidR="007E56D3" w:rsidRPr="00411517" w:rsidRDefault="007E56D3" w:rsidP="00411517">
      <w:pPr>
        <w:spacing w:line="360" w:lineRule="auto"/>
        <w:jc w:val="both"/>
        <w:rPr>
          <w:rFonts w:ascii="Century" w:hAnsi="Century" w:cs="Calibri"/>
          <w:sz w:val="20"/>
          <w:szCs w:val="20"/>
        </w:rPr>
      </w:pPr>
      <w:r w:rsidRPr="009C0701">
        <w:rPr>
          <w:rFonts w:ascii="Century" w:hAnsi="Century"/>
          <w:sz w:val="20"/>
          <w:szCs w:val="20"/>
        </w:rPr>
        <w:t>Uwzględniając dotychczasowe kształtowanie się dochodów budżetu Gminy Trzciel oraz przewidywania na następne lata, w poszczególnych kategoriach dochodów bieżących posłużono się metodą indeksacji wartości bazowych o wskaźnik</w:t>
      </w:r>
      <w:r w:rsidR="00411517">
        <w:rPr>
          <w:rFonts w:ascii="Century" w:hAnsi="Century"/>
          <w:sz w:val="20"/>
          <w:szCs w:val="20"/>
        </w:rPr>
        <w:t xml:space="preserve"> CPI.</w:t>
      </w:r>
    </w:p>
    <w:p w14:paraId="471B03CE" w14:textId="77777777" w:rsidR="007E56D3" w:rsidRPr="00411517" w:rsidRDefault="007E56D3" w:rsidP="00D24E83">
      <w:pPr>
        <w:pStyle w:val="Nagwek2"/>
        <w:spacing w:line="360" w:lineRule="auto"/>
        <w:rPr>
          <w:rFonts w:ascii="Century" w:hAnsi="Century" w:cs="Calibri"/>
          <w:b/>
          <w:bCs/>
          <w:color w:val="auto"/>
          <w:sz w:val="22"/>
          <w:szCs w:val="22"/>
        </w:rPr>
      </w:pPr>
      <w:r w:rsidRPr="00411517">
        <w:rPr>
          <w:rFonts w:ascii="Century" w:hAnsi="Century"/>
          <w:b/>
          <w:bCs/>
          <w:color w:val="auto"/>
          <w:sz w:val="22"/>
          <w:szCs w:val="22"/>
        </w:rPr>
        <w:t>Podatek od nieruchomości</w:t>
      </w:r>
    </w:p>
    <w:p w14:paraId="726DC435" w14:textId="77777777" w:rsidR="007E56D3" w:rsidRPr="009C0701" w:rsidRDefault="007E56D3" w:rsidP="00411517">
      <w:pPr>
        <w:spacing w:line="360" w:lineRule="auto"/>
        <w:jc w:val="both"/>
        <w:rPr>
          <w:rFonts w:ascii="Century" w:hAnsi="Century" w:cs="Calibri"/>
          <w:sz w:val="20"/>
          <w:szCs w:val="20"/>
        </w:rPr>
      </w:pPr>
      <w:r w:rsidRPr="009C0701">
        <w:rPr>
          <w:rFonts w:ascii="Century" w:hAnsi="Century"/>
          <w:sz w:val="20"/>
          <w:szCs w:val="20"/>
        </w:rPr>
        <w:t>Stosownie do przepisów ustawy o podatkach i opłatach lokalnych, wysokość stawek podatku od nieruchomości nie może przekroczyć górnych granic stawek kwotowych ogłoszonych przez Ministra Finansów. W roku budżetowym wpływy z tytułu podatku od nieruchomości zaplanowano w oparciu o planowane na 2023 r. stawki podatku od nieruchomości oraz zasób nieruchomości Gminy Trzciel, który stanowi przedmiot opodatkowania. Wysokość wpływów z podatku od nieruchomości na 2023 r. ustalono więc na poziomie 4 400 000,00 zł, co stanowi 111,39% dochodów z tego tytułu planowanych do uzyskania na koniec 2022 r.</w:t>
      </w:r>
    </w:p>
    <w:p w14:paraId="780D254E" w14:textId="77777777" w:rsidR="007E56D3" w:rsidRPr="009C0701" w:rsidRDefault="007E56D3" w:rsidP="00411517">
      <w:pPr>
        <w:spacing w:line="360" w:lineRule="auto"/>
        <w:jc w:val="both"/>
        <w:rPr>
          <w:rFonts w:ascii="Century" w:hAnsi="Century" w:cs="Calibri"/>
          <w:sz w:val="20"/>
          <w:szCs w:val="20"/>
        </w:rPr>
      </w:pPr>
      <w:r w:rsidRPr="009C0701">
        <w:rPr>
          <w:rFonts w:ascii="Century" w:hAnsi="Century"/>
          <w:sz w:val="20"/>
          <w:szCs w:val="20"/>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14:paraId="2B5D0B83" w14:textId="77777777" w:rsidR="007E56D3" w:rsidRPr="00411517" w:rsidRDefault="007E56D3" w:rsidP="00D24E83">
      <w:pPr>
        <w:pStyle w:val="Nagwek3"/>
        <w:spacing w:line="360" w:lineRule="auto"/>
        <w:rPr>
          <w:rFonts w:ascii="Century" w:hAnsi="Century" w:cs="Calibri"/>
          <w:b/>
          <w:bCs/>
          <w:color w:val="auto"/>
          <w:sz w:val="22"/>
          <w:szCs w:val="22"/>
        </w:rPr>
      </w:pPr>
      <w:r w:rsidRPr="00411517">
        <w:rPr>
          <w:rFonts w:ascii="Century" w:hAnsi="Century"/>
          <w:b/>
          <w:bCs/>
          <w:color w:val="auto"/>
          <w:sz w:val="22"/>
          <w:szCs w:val="22"/>
        </w:rPr>
        <w:t>Udział w podatkach centralnych</w:t>
      </w:r>
    </w:p>
    <w:p w14:paraId="2B8F62E7" w14:textId="3F6B30D3" w:rsidR="007E56D3" w:rsidRPr="009C0701" w:rsidRDefault="007E56D3" w:rsidP="00411517">
      <w:pPr>
        <w:spacing w:line="360" w:lineRule="auto"/>
        <w:jc w:val="both"/>
        <w:rPr>
          <w:rFonts w:ascii="Century" w:hAnsi="Century" w:cs="Calibri"/>
          <w:sz w:val="20"/>
          <w:szCs w:val="20"/>
        </w:rPr>
      </w:pPr>
      <w:r w:rsidRPr="009C0701">
        <w:rPr>
          <w:rFonts w:ascii="Century" w:hAnsi="Century"/>
          <w:sz w:val="20"/>
          <w:szCs w:val="20"/>
        </w:rPr>
        <w:t>Jako że ta grupa dochodów pozostaje w bardzo silnym związku z sytuacją makroekonomiczną kraju, przy szacowaniu dochodów z tytułu udziałów w podatku dochodowym od osób fizycznych (PIT) oraz od osób prawnych (CIT) w okresie prognozy wzięto pod uwagę prognozowane wskaźniki</w:t>
      </w:r>
      <w:r w:rsidR="00411517">
        <w:rPr>
          <w:rFonts w:ascii="Century" w:hAnsi="Century"/>
          <w:sz w:val="20"/>
          <w:szCs w:val="20"/>
        </w:rPr>
        <w:t xml:space="preserve"> </w:t>
      </w:r>
      <w:r w:rsidR="00092185" w:rsidRPr="009C0701">
        <w:rPr>
          <w:rFonts w:ascii="Century" w:hAnsi="Century"/>
          <w:sz w:val="20"/>
          <w:szCs w:val="20"/>
        </w:rPr>
        <w:t>makroekonomiczne</w:t>
      </w:r>
      <w:r w:rsidRPr="009C0701">
        <w:rPr>
          <w:rFonts w:ascii="Century" w:hAnsi="Century"/>
          <w:sz w:val="20"/>
          <w:szCs w:val="20"/>
        </w:rPr>
        <w:t>.</w:t>
      </w:r>
    </w:p>
    <w:p w14:paraId="36D2083E" w14:textId="77777777" w:rsidR="007E56D3" w:rsidRPr="00411517" w:rsidRDefault="007E56D3" w:rsidP="00D24E83">
      <w:pPr>
        <w:pStyle w:val="Nagwek3"/>
        <w:spacing w:line="360" w:lineRule="auto"/>
        <w:rPr>
          <w:rFonts w:ascii="Century" w:hAnsi="Century" w:cs="Calibri"/>
          <w:b/>
          <w:bCs/>
          <w:color w:val="auto"/>
          <w:sz w:val="22"/>
          <w:szCs w:val="22"/>
        </w:rPr>
      </w:pPr>
      <w:r w:rsidRPr="00411517">
        <w:rPr>
          <w:rFonts w:ascii="Century" w:hAnsi="Century"/>
          <w:b/>
          <w:bCs/>
          <w:color w:val="auto"/>
          <w:sz w:val="22"/>
          <w:szCs w:val="22"/>
        </w:rPr>
        <w:lastRenderedPageBreak/>
        <w:t>Subwencje i dotacje na zadania bieżące</w:t>
      </w:r>
    </w:p>
    <w:p w14:paraId="32930193" w14:textId="1D9736A9" w:rsidR="007E56D3" w:rsidRPr="009C0701" w:rsidRDefault="007E56D3" w:rsidP="00624BB1">
      <w:pPr>
        <w:spacing w:line="360" w:lineRule="auto"/>
        <w:jc w:val="both"/>
        <w:rPr>
          <w:rFonts w:ascii="Century" w:hAnsi="Century" w:cs="Calibri"/>
          <w:sz w:val="20"/>
          <w:szCs w:val="20"/>
        </w:rPr>
      </w:pPr>
      <w:r w:rsidRPr="009C0701">
        <w:rPr>
          <w:rFonts w:ascii="Century" w:hAnsi="Century"/>
          <w:sz w:val="20"/>
          <w:szCs w:val="20"/>
        </w:rPr>
        <w:t>Planowaną kwotę subwencji ogólnej oraz dotacji celowych z budżetu państwa (innych niż środki na dofinansowanie realizacji projektów europejskich) na 2023 rok przyjęto w oparciu o informacje przekazane przez Ministra Finansów. W kolejnych latach prognozy założono wzrost kwoty otrzymywanych dotychczas cyklicznych subwencji i dotacji celowych z budżetu państwa w oparciu o prognozowane wskaźniki makroekonomiczne</w:t>
      </w:r>
      <w:r w:rsidR="00092185">
        <w:rPr>
          <w:rFonts w:ascii="Century" w:hAnsi="Century"/>
          <w:sz w:val="20"/>
          <w:szCs w:val="20"/>
        </w:rPr>
        <w:t>.</w:t>
      </w:r>
    </w:p>
    <w:p w14:paraId="4CB03014" w14:textId="77777777" w:rsidR="007E56D3" w:rsidRPr="00411517" w:rsidRDefault="007E56D3" w:rsidP="00624BB1">
      <w:pPr>
        <w:pStyle w:val="Nagwek2"/>
        <w:spacing w:after="160" w:line="360" w:lineRule="auto"/>
        <w:rPr>
          <w:rFonts w:ascii="Century" w:hAnsi="Century" w:cs="Calibri"/>
          <w:b/>
          <w:bCs/>
          <w:color w:val="auto"/>
          <w:sz w:val="22"/>
          <w:szCs w:val="22"/>
        </w:rPr>
      </w:pPr>
      <w:r w:rsidRPr="00411517">
        <w:rPr>
          <w:rFonts w:ascii="Century" w:hAnsi="Century"/>
          <w:b/>
          <w:bCs/>
          <w:color w:val="auto"/>
          <w:sz w:val="22"/>
          <w:szCs w:val="22"/>
        </w:rPr>
        <w:t>1.2. Dochody majątkowe</w:t>
      </w:r>
    </w:p>
    <w:p w14:paraId="1E315AA4" w14:textId="0A1F5826" w:rsidR="007E56D3" w:rsidRPr="009C0701" w:rsidRDefault="007E56D3" w:rsidP="004A653E">
      <w:pPr>
        <w:spacing w:line="360" w:lineRule="auto"/>
        <w:jc w:val="both"/>
        <w:rPr>
          <w:rFonts w:ascii="Century" w:hAnsi="Century"/>
          <w:sz w:val="20"/>
          <w:szCs w:val="20"/>
        </w:rPr>
      </w:pPr>
      <w:r w:rsidRPr="009C0701">
        <w:rPr>
          <w:rFonts w:ascii="Century" w:hAnsi="Century"/>
          <w:sz w:val="20"/>
          <w:szCs w:val="20"/>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14:paraId="09DE8C8C" w14:textId="67D68717" w:rsidR="007E56D3" w:rsidRPr="004A653E" w:rsidRDefault="007E56D3" w:rsidP="009C0701">
      <w:pPr>
        <w:spacing w:line="360" w:lineRule="auto"/>
        <w:jc w:val="both"/>
        <w:rPr>
          <w:rFonts w:ascii="Century" w:hAnsi="Century"/>
          <w:sz w:val="20"/>
          <w:szCs w:val="20"/>
        </w:rPr>
      </w:pPr>
      <w:r w:rsidRPr="004A653E">
        <w:rPr>
          <w:rFonts w:ascii="Century" w:hAnsi="Century"/>
          <w:sz w:val="20"/>
          <w:szCs w:val="20"/>
        </w:rPr>
        <w:t>W 2023 roku dochody ze sprzedaży majątku zaplanowano na poziomie 330 000,00 zł</w:t>
      </w:r>
      <w:r w:rsidR="004A653E" w:rsidRPr="004A653E">
        <w:rPr>
          <w:rFonts w:ascii="Century" w:hAnsi="Century" w:cs="Century"/>
          <w:sz w:val="20"/>
          <w:szCs w:val="20"/>
          <w:lang w:eastAsia="en-US"/>
        </w:rPr>
        <w:t xml:space="preserve"> na podstawie analizy posiadanego majątku i możliwości jego zbycia</w:t>
      </w:r>
      <w:r w:rsidRPr="004A653E">
        <w:rPr>
          <w:rFonts w:ascii="Century" w:hAnsi="Century"/>
          <w:sz w:val="20"/>
          <w:szCs w:val="20"/>
        </w:rPr>
        <w:t>. Bazując na informacjach o wykonaniu dochodów majątkowych w poprzednich latach, należy stwierdzić, że zaplanowana kwota jest realna</w:t>
      </w:r>
      <w:r w:rsidR="004A653E" w:rsidRPr="004A653E">
        <w:rPr>
          <w:rFonts w:ascii="Century" w:hAnsi="Century"/>
          <w:sz w:val="20"/>
          <w:szCs w:val="20"/>
        </w:rPr>
        <w:t>.</w:t>
      </w:r>
    </w:p>
    <w:p w14:paraId="4D976B3F" w14:textId="7A11B5B7" w:rsidR="00937156" w:rsidRDefault="007E56D3" w:rsidP="004C3928">
      <w:pPr>
        <w:spacing w:line="360" w:lineRule="auto"/>
        <w:jc w:val="both"/>
        <w:rPr>
          <w:rFonts w:ascii="Century" w:hAnsi="Century"/>
          <w:sz w:val="20"/>
          <w:szCs w:val="20"/>
        </w:rPr>
      </w:pPr>
      <w:r w:rsidRPr="009C0701">
        <w:rPr>
          <w:rFonts w:ascii="Century" w:hAnsi="Century"/>
          <w:sz w:val="20"/>
          <w:szCs w:val="20"/>
        </w:rPr>
        <w:t>W 2023 roku zaplanowano dotacje oraz środki przeznaczone na inwestycje w wysokości</w:t>
      </w:r>
      <w:r w:rsidR="00D96659">
        <w:rPr>
          <w:rFonts w:ascii="Century" w:hAnsi="Century"/>
          <w:sz w:val="20"/>
          <w:szCs w:val="20"/>
        </w:rPr>
        <w:t xml:space="preserve"> </w:t>
      </w:r>
      <w:r w:rsidRPr="009C0701">
        <w:rPr>
          <w:rFonts w:ascii="Century" w:hAnsi="Century"/>
          <w:sz w:val="20"/>
          <w:szCs w:val="20"/>
        </w:rPr>
        <w:t>18 756 974,00 zł, które wiążą się z uzyskaniem bezzwrotnego dofinansowania na realizację zadań przedstawionych m.in. w załączniku nr 2 do Wieloletniej Prognozy Finansowej. Dotacje</w:t>
      </w:r>
      <w:r w:rsidR="00937156">
        <w:rPr>
          <w:rFonts w:ascii="Century" w:hAnsi="Century"/>
          <w:sz w:val="20"/>
          <w:szCs w:val="20"/>
        </w:rPr>
        <w:t xml:space="preserve"> i środki</w:t>
      </w:r>
      <w:r w:rsidRPr="009C0701">
        <w:rPr>
          <w:rFonts w:ascii="Century" w:hAnsi="Century"/>
          <w:sz w:val="20"/>
          <w:szCs w:val="20"/>
        </w:rPr>
        <w:t xml:space="preserve"> obejmują</w:t>
      </w:r>
      <w:r w:rsidR="00937156">
        <w:rPr>
          <w:rFonts w:ascii="Century" w:hAnsi="Century"/>
          <w:sz w:val="20"/>
          <w:szCs w:val="20"/>
        </w:rPr>
        <w:t>:</w:t>
      </w:r>
    </w:p>
    <w:p w14:paraId="6DCB5DE8" w14:textId="14752AEA" w:rsidR="007E56D3" w:rsidRPr="0025498C" w:rsidRDefault="007E56D3" w:rsidP="00937156">
      <w:pPr>
        <w:pStyle w:val="Akapitzlist"/>
        <w:numPr>
          <w:ilvl w:val="0"/>
          <w:numId w:val="25"/>
        </w:numPr>
        <w:spacing w:line="360" w:lineRule="auto"/>
        <w:jc w:val="both"/>
        <w:rPr>
          <w:rFonts w:ascii="Century" w:hAnsi="Century" w:cs="Calibri"/>
          <w:sz w:val="20"/>
          <w:szCs w:val="20"/>
        </w:rPr>
      </w:pPr>
      <w:r w:rsidRPr="0025498C">
        <w:rPr>
          <w:rFonts w:ascii="Century" w:hAnsi="Century"/>
          <w:sz w:val="20"/>
          <w:szCs w:val="20"/>
        </w:rPr>
        <w:t xml:space="preserve">środki </w:t>
      </w:r>
      <w:r w:rsidR="00937156" w:rsidRPr="0025498C">
        <w:rPr>
          <w:rFonts w:ascii="Century" w:hAnsi="Century"/>
          <w:sz w:val="20"/>
          <w:szCs w:val="20"/>
          <w:lang w:eastAsia="en-US"/>
        </w:rPr>
        <w:t xml:space="preserve">z tytułu refundacji poniesionych wydatków na realizację projektów finansowanych z budżetu Unii Europejskiej w łącznej kwocie 5 350 286,00 zł, </w:t>
      </w:r>
      <w:r w:rsidRPr="0025498C">
        <w:rPr>
          <w:rFonts w:ascii="Century" w:hAnsi="Century"/>
          <w:sz w:val="20"/>
          <w:szCs w:val="20"/>
        </w:rPr>
        <w:t>na realizację niżej wymienionych zadań:</w:t>
      </w:r>
    </w:p>
    <w:p w14:paraId="6DFC092E" w14:textId="7ECA6EF5" w:rsidR="00937156" w:rsidRPr="0025498C" w:rsidRDefault="00937156" w:rsidP="00937156">
      <w:pPr>
        <w:pStyle w:val="Akapitzlist"/>
        <w:numPr>
          <w:ilvl w:val="0"/>
          <w:numId w:val="26"/>
        </w:numPr>
        <w:spacing w:line="360" w:lineRule="auto"/>
        <w:ind w:left="1134"/>
        <w:jc w:val="both"/>
        <w:rPr>
          <w:rFonts w:ascii="Century" w:hAnsi="Century" w:cs="Calibri"/>
          <w:sz w:val="20"/>
          <w:szCs w:val="20"/>
        </w:rPr>
      </w:pPr>
      <w:r w:rsidRPr="0025498C">
        <w:rPr>
          <w:rFonts w:ascii="Century" w:hAnsi="Century"/>
          <w:sz w:val="20"/>
          <w:szCs w:val="20"/>
        </w:rPr>
        <w:t>Budowa sieci wodociągowej w Lutolu Mokrym - etap II</w:t>
      </w:r>
      <w:r w:rsidRPr="0025498C">
        <w:rPr>
          <w:rFonts w:ascii="Century" w:hAnsi="Century"/>
          <w:sz w:val="20"/>
          <w:szCs w:val="20"/>
          <w:lang w:eastAsia="en-US"/>
        </w:rPr>
        <w:t xml:space="preserve"> w kwocie 2 793 802,00 zł,</w:t>
      </w:r>
    </w:p>
    <w:p w14:paraId="22ED518C" w14:textId="54DD49D8" w:rsidR="00937156" w:rsidRPr="0025498C" w:rsidRDefault="00937156" w:rsidP="00937156">
      <w:pPr>
        <w:pStyle w:val="Akapitzlist"/>
        <w:numPr>
          <w:ilvl w:val="0"/>
          <w:numId w:val="26"/>
        </w:numPr>
        <w:spacing w:line="360" w:lineRule="auto"/>
        <w:ind w:left="1134"/>
        <w:jc w:val="both"/>
        <w:rPr>
          <w:rFonts w:ascii="Century" w:hAnsi="Century"/>
          <w:sz w:val="20"/>
          <w:szCs w:val="20"/>
        </w:rPr>
      </w:pPr>
      <w:r w:rsidRPr="0025498C">
        <w:rPr>
          <w:rFonts w:ascii="Century" w:hAnsi="Century"/>
          <w:sz w:val="20"/>
          <w:szCs w:val="20"/>
        </w:rPr>
        <w:t>Budowa sieci kanalizacji sanitarnej w Świdwowcu</w:t>
      </w:r>
      <w:r w:rsidRPr="0025498C">
        <w:rPr>
          <w:rFonts w:ascii="Century" w:hAnsi="Century"/>
          <w:sz w:val="20"/>
          <w:szCs w:val="20"/>
          <w:lang w:eastAsia="en-US"/>
        </w:rPr>
        <w:t xml:space="preserve"> w kwocie 589 894,00 zł,</w:t>
      </w:r>
    </w:p>
    <w:p w14:paraId="2731B997" w14:textId="5D403DF7" w:rsidR="00937156" w:rsidRPr="0025498C" w:rsidRDefault="00937156" w:rsidP="00937156">
      <w:pPr>
        <w:pStyle w:val="Akapitzlist"/>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134"/>
        <w:jc w:val="both"/>
        <w:rPr>
          <w:rFonts w:ascii="Century" w:hAnsi="Century"/>
          <w:sz w:val="20"/>
          <w:szCs w:val="20"/>
          <w:lang w:eastAsia="en-US"/>
        </w:rPr>
      </w:pPr>
      <w:r w:rsidRPr="0025498C">
        <w:rPr>
          <w:rFonts w:ascii="Century" w:hAnsi="Century"/>
          <w:sz w:val="20"/>
          <w:szCs w:val="20"/>
        </w:rPr>
        <w:t>Przebudowa ul. Lipowej - droga nr 103808F oraz przebudowa ul. Łąkowej - droga nr 103809F w miejscowości Trzciel</w:t>
      </w:r>
      <w:r w:rsidRPr="0025498C">
        <w:rPr>
          <w:rFonts w:ascii="Century" w:hAnsi="Century"/>
          <w:sz w:val="20"/>
          <w:szCs w:val="20"/>
          <w:lang w:eastAsia="en-US"/>
        </w:rPr>
        <w:t xml:space="preserve"> w kwocie 1 733 283,00 zł,</w:t>
      </w:r>
    </w:p>
    <w:p w14:paraId="77556AC0" w14:textId="50295354" w:rsidR="00937156" w:rsidRPr="0025498C" w:rsidRDefault="00937156" w:rsidP="00937156">
      <w:pPr>
        <w:pStyle w:val="Akapitzlist"/>
        <w:numPr>
          <w:ilvl w:val="0"/>
          <w:numId w:val="26"/>
        </w:numPr>
        <w:spacing w:line="360" w:lineRule="auto"/>
        <w:ind w:left="1134"/>
        <w:jc w:val="both"/>
        <w:rPr>
          <w:rFonts w:ascii="Century" w:hAnsi="Century" w:cs="Calibri"/>
          <w:sz w:val="20"/>
          <w:szCs w:val="20"/>
        </w:rPr>
      </w:pPr>
      <w:r w:rsidRPr="0025498C">
        <w:rPr>
          <w:rFonts w:ascii="Century" w:hAnsi="Century"/>
          <w:sz w:val="20"/>
          <w:szCs w:val="20"/>
        </w:rPr>
        <w:t>Budowa małej architektury "street workout" wraz z infrastrukturą towarzyszącą w Trzcielu w kwocie 125 202,00 zł,</w:t>
      </w:r>
    </w:p>
    <w:p w14:paraId="1698C6B3" w14:textId="0DF4CF28" w:rsidR="00937156" w:rsidRPr="0025498C" w:rsidRDefault="00937156" w:rsidP="00937156">
      <w:pPr>
        <w:pStyle w:val="Akapitzlist"/>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ind w:left="1134"/>
        <w:jc w:val="both"/>
        <w:rPr>
          <w:rFonts w:ascii="Century" w:hAnsi="Century"/>
          <w:sz w:val="20"/>
          <w:szCs w:val="20"/>
        </w:rPr>
      </w:pPr>
      <w:r w:rsidRPr="0025498C">
        <w:rPr>
          <w:rFonts w:ascii="Century" w:hAnsi="Century"/>
          <w:sz w:val="20"/>
          <w:szCs w:val="20"/>
        </w:rPr>
        <w:t>Przebudowa świetlicy wiejskiej w Sierczynku</w:t>
      </w:r>
      <w:r w:rsidRPr="0025498C">
        <w:rPr>
          <w:rFonts w:ascii="Century" w:hAnsi="Century"/>
          <w:sz w:val="20"/>
          <w:szCs w:val="20"/>
          <w:lang w:eastAsia="en-US"/>
        </w:rPr>
        <w:t xml:space="preserve"> w kwocie</w:t>
      </w:r>
      <w:r w:rsidRPr="0025498C">
        <w:rPr>
          <w:rFonts w:ascii="Century" w:hAnsi="Century"/>
          <w:sz w:val="20"/>
          <w:szCs w:val="20"/>
        </w:rPr>
        <w:t xml:space="preserve"> 108 105,00 zł;</w:t>
      </w:r>
    </w:p>
    <w:p w14:paraId="7AB3C46F" w14:textId="03BBE802" w:rsidR="00937156" w:rsidRPr="0025498C" w:rsidRDefault="00937156" w:rsidP="00937156">
      <w:pPr>
        <w:pStyle w:val="Akapitzlist"/>
        <w:numPr>
          <w:ilvl w:val="0"/>
          <w:numId w:val="25"/>
        </w:numPr>
        <w:spacing w:line="360" w:lineRule="auto"/>
        <w:jc w:val="both"/>
        <w:rPr>
          <w:rFonts w:ascii="Century" w:hAnsi="Century" w:cs="Calibri"/>
          <w:sz w:val="20"/>
          <w:szCs w:val="20"/>
        </w:rPr>
      </w:pPr>
      <w:r w:rsidRPr="0025498C">
        <w:rPr>
          <w:rFonts w:ascii="Century" w:hAnsi="Century"/>
          <w:sz w:val="20"/>
          <w:szCs w:val="20"/>
        </w:rPr>
        <w:t>środki z Rządowego Funduszu Polski Ład: Program Inwestycji Strategicznych na realizację zadań inwestycyjnych, stanowiące środki z Funduszu Przeciwdziałania COVID-19</w:t>
      </w:r>
      <w:r w:rsidRPr="0025498C">
        <w:rPr>
          <w:rFonts w:ascii="Century" w:hAnsi="Century"/>
          <w:sz w:val="20"/>
          <w:szCs w:val="20"/>
          <w:lang w:eastAsia="en-US"/>
        </w:rPr>
        <w:t xml:space="preserve"> w łącznej kwocie 13 306 688,00 zł, </w:t>
      </w:r>
      <w:r w:rsidRPr="0025498C">
        <w:rPr>
          <w:rFonts w:ascii="Century" w:hAnsi="Century"/>
          <w:sz w:val="20"/>
          <w:szCs w:val="20"/>
        </w:rPr>
        <w:t>na realizację niżej wymienionych zadań:</w:t>
      </w:r>
    </w:p>
    <w:p w14:paraId="6FDA1490" w14:textId="2C79313E" w:rsidR="00937156" w:rsidRPr="0025498C" w:rsidRDefault="00937156" w:rsidP="00937156">
      <w:pPr>
        <w:pStyle w:val="Akapitzlist"/>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134"/>
        <w:jc w:val="both"/>
        <w:rPr>
          <w:rFonts w:ascii="Century" w:hAnsi="Century"/>
          <w:sz w:val="20"/>
          <w:szCs w:val="20"/>
          <w:lang w:eastAsia="en-US"/>
        </w:rPr>
      </w:pPr>
      <w:r w:rsidRPr="0025498C">
        <w:rPr>
          <w:rFonts w:ascii="Century" w:hAnsi="Century"/>
          <w:sz w:val="20"/>
          <w:szCs w:val="20"/>
        </w:rPr>
        <w:t>Modernizacja sieci wodociągowej na terenie Gminy Trzciel w kwocie 1</w:t>
      </w:r>
      <w:r w:rsidR="0025498C" w:rsidRPr="0025498C">
        <w:rPr>
          <w:rFonts w:ascii="Century" w:hAnsi="Century"/>
          <w:sz w:val="20"/>
          <w:szCs w:val="20"/>
        </w:rPr>
        <w:t> </w:t>
      </w:r>
      <w:r w:rsidRPr="0025498C">
        <w:rPr>
          <w:rFonts w:ascii="Century" w:hAnsi="Century"/>
          <w:sz w:val="20"/>
          <w:szCs w:val="20"/>
        </w:rPr>
        <w:t>470</w:t>
      </w:r>
      <w:r w:rsidR="0025498C" w:rsidRPr="0025498C">
        <w:rPr>
          <w:rFonts w:ascii="Century" w:hAnsi="Century"/>
          <w:sz w:val="20"/>
          <w:szCs w:val="20"/>
        </w:rPr>
        <w:t xml:space="preserve"> </w:t>
      </w:r>
      <w:r w:rsidRPr="0025498C">
        <w:rPr>
          <w:rFonts w:ascii="Century" w:hAnsi="Century"/>
          <w:sz w:val="20"/>
          <w:szCs w:val="20"/>
        </w:rPr>
        <w:t>000,00 zł,</w:t>
      </w:r>
    </w:p>
    <w:p w14:paraId="1DA4A4D1" w14:textId="55A40890" w:rsidR="00937156" w:rsidRPr="0025498C" w:rsidRDefault="00937156" w:rsidP="00937156">
      <w:pPr>
        <w:pStyle w:val="Akapitzlist"/>
        <w:numPr>
          <w:ilvl w:val="0"/>
          <w:numId w:val="28"/>
        </w:numPr>
        <w:spacing w:line="360" w:lineRule="auto"/>
        <w:ind w:left="1134"/>
        <w:jc w:val="both"/>
        <w:rPr>
          <w:rFonts w:ascii="Century" w:hAnsi="Century"/>
          <w:sz w:val="20"/>
          <w:szCs w:val="20"/>
        </w:rPr>
      </w:pPr>
      <w:r w:rsidRPr="0025498C">
        <w:rPr>
          <w:rFonts w:ascii="Century" w:hAnsi="Century"/>
          <w:sz w:val="20"/>
          <w:szCs w:val="20"/>
        </w:rPr>
        <w:t>Budowa sieci kanalizacji sanitarnej w Łagowcu w kwocie 2</w:t>
      </w:r>
      <w:r w:rsidR="0025498C" w:rsidRPr="0025498C">
        <w:rPr>
          <w:rFonts w:ascii="Century" w:hAnsi="Century"/>
          <w:sz w:val="20"/>
          <w:szCs w:val="20"/>
        </w:rPr>
        <w:t xml:space="preserve"> </w:t>
      </w:r>
      <w:r w:rsidRPr="0025498C">
        <w:rPr>
          <w:rFonts w:ascii="Century" w:hAnsi="Century"/>
          <w:sz w:val="20"/>
          <w:szCs w:val="20"/>
        </w:rPr>
        <w:t>645</w:t>
      </w:r>
      <w:r w:rsidR="0025498C" w:rsidRPr="0025498C">
        <w:rPr>
          <w:rFonts w:ascii="Century" w:hAnsi="Century"/>
          <w:sz w:val="20"/>
          <w:szCs w:val="20"/>
        </w:rPr>
        <w:t xml:space="preserve"> </w:t>
      </w:r>
      <w:r w:rsidRPr="0025498C">
        <w:rPr>
          <w:rFonts w:ascii="Century" w:hAnsi="Century"/>
          <w:sz w:val="20"/>
          <w:szCs w:val="20"/>
        </w:rPr>
        <w:t>750,00 zł</w:t>
      </w:r>
      <w:r w:rsidR="0025498C" w:rsidRPr="0025498C">
        <w:rPr>
          <w:rFonts w:ascii="Century" w:hAnsi="Century"/>
          <w:sz w:val="20"/>
          <w:szCs w:val="20"/>
        </w:rPr>
        <w:t>,</w:t>
      </w:r>
    </w:p>
    <w:p w14:paraId="00FB114D" w14:textId="77777777" w:rsidR="0025498C" w:rsidRDefault="00937156" w:rsidP="0025498C">
      <w:pPr>
        <w:pStyle w:val="Akapitzlist"/>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134"/>
        <w:jc w:val="both"/>
        <w:rPr>
          <w:rFonts w:ascii="Century" w:hAnsi="Century"/>
          <w:sz w:val="20"/>
          <w:szCs w:val="20"/>
          <w:lang w:eastAsia="en-US"/>
        </w:rPr>
      </w:pPr>
      <w:r w:rsidRPr="0025498C">
        <w:rPr>
          <w:rFonts w:ascii="Century" w:hAnsi="Century"/>
          <w:sz w:val="20"/>
          <w:szCs w:val="20"/>
        </w:rPr>
        <w:t xml:space="preserve">Przebudowa drogi gminnej nr 006323F Chociszewo - Lutol Mokry w kwocie </w:t>
      </w:r>
      <w:r w:rsidR="0025498C" w:rsidRPr="0025498C">
        <w:rPr>
          <w:rFonts w:ascii="Century" w:hAnsi="Century"/>
          <w:sz w:val="20"/>
          <w:szCs w:val="20"/>
        </w:rPr>
        <w:t xml:space="preserve">               </w:t>
      </w:r>
      <w:r w:rsidRPr="0025498C">
        <w:rPr>
          <w:rFonts w:ascii="Century" w:hAnsi="Century"/>
          <w:sz w:val="20"/>
          <w:szCs w:val="20"/>
        </w:rPr>
        <w:t>1</w:t>
      </w:r>
      <w:r w:rsidR="0025498C" w:rsidRPr="0025498C">
        <w:rPr>
          <w:rFonts w:ascii="Century" w:hAnsi="Century"/>
          <w:sz w:val="20"/>
          <w:szCs w:val="20"/>
        </w:rPr>
        <w:t xml:space="preserve"> </w:t>
      </w:r>
      <w:r w:rsidRPr="0025498C">
        <w:rPr>
          <w:rFonts w:ascii="Century" w:hAnsi="Century"/>
          <w:sz w:val="20"/>
          <w:szCs w:val="20"/>
        </w:rPr>
        <w:t>240</w:t>
      </w:r>
      <w:r w:rsidR="0025498C" w:rsidRPr="0025498C">
        <w:rPr>
          <w:rFonts w:ascii="Century" w:hAnsi="Century"/>
          <w:sz w:val="20"/>
          <w:szCs w:val="20"/>
        </w:rPr>
        <w:t xml:space="preserve"> </w:t>
      </w:r>
      <w:r w:rsidRPr="0025498C">
        <w:rPr>
          <w:rFonts w:ascii="Century" w:hAnsi="Century"/>
          <w:sz w:val="20"/>
          <w:szCs w:val="20"/>
        </w:rPr>
        <w:t>000,00 zł,</w:t>
      </w:r>
    </w:p>
    <w:p w14:paraId="36FA4EA7" w14:textId="5195F594" w:rsidR="00937156" w:rsidRPr="0025498C" w:rsidRDefault="00937156" w:rsidP="0025498C">
      <w:pPr>
        <w:pStyle w:val="Akapitzlist"/>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134"/>
        <w:jc w:val="both"/>
        <w:rPr>
          <w:rFonts w:ascii="Century" w:hAnsi="Century"/>
          <w:sz w:val="20"/>
          <w:szCs w:val="20"/>
          <w:lang w:eastAsia="en-US"/>
        </w:rPr>
      </w:pPr>
      <w:r w:rsidRPr="0025498C">
        <w:rPr>
          <w:rFonts w:ascii="Century" w:hAnsi="Century"/>
          <w:sz w:val="20"/>
          <w:szCs w:val="20"/>
        </w:rPr>
        <w:t>Budowa promenady wzdłuż rzeki Obry w Trzcielu z zagospodarowaniem terenu</w:t>
      </w:r>
      <w:r w:rsidRPr="0025498C">
        <w:rPr>
          <w:rFonts w:ascii="Century" w:hAnsi="Century"/>
          <w:sz w:val="18"/>
          <w:szCs w:val="18"/>
        </w:rPr>
        <w:t xml:space="preserve"> </w:t>
      </w:r>
      <w:r w:rsidRPr="0025498C">
        <w:rPr>
          <w:rFonts w:ascii="Century" w:hAnsi="Century"/>
          <w:color w:val="000000"/>
          <w:sz w:val="20"/>
          <w:szCs w:val="20"/>
        </w:rPr>
        <w:t>plaży nad jeziorem Młyńskim i budową drogi dojazdowej do plaży</w:t>
      </w:r>
      <w:r w:rsidRPr="0025498C">
        <w:rPr>
          <w:rFonts w:ascii="Century" w:hAnsi="Century"/>
          <w:sz w:val="20"/>
          <w:szCs w:val="20"/>
        </w:rPr>
        <w:t xml:space="preserve"> w kwocie 3</w:t>
      </w:r>
      <w:r w:rsidR="0025498C" w:rsidRPr="0025498C">
        <w:rPr>
          <w:rFonts w:ascii="Century" w:hAnsi="Century"/>
          <w:sz w:val="20"/>
          <w:szCs w:val="20"/>
        </w:rPr>
        <w:t xml:space="preserve"> </w:t>
      </w:r>
      <w:r w:rsidRPr="0025498C">
        <w:rPr>
          <w:rFonts w:ascii="Century" w:hAnsi="Century"/>
          <w:sz w:val="20"/>
          <w:szCs w:val="20"/>
        </w:rPr>
        <w:t>950</w:t>
      </w:r>
      <w:r w:rsidR="0025498C" w:rsidRPr="0025498C">
        <w:rPr>
          <w:rFonts w:ascii="Century" w:hAnsi="Century"/>
          <w:sz w:val="20"/>
          <w:szCs w:val="20"/>
        </w:rPr>
        <w:t xml:space="preserve"> </w:t>
      </w:r>
      <w:r w:rsidRPr="0025498C">
        <w:rPr>
          <w:rFonts w:ascii="Century" w:hAnsi="Century"/>
          <w:sz w:val="20"/>
          <w:szCs w:val="20"/>
        </w:rPr>
        <w:t>938,00 zł,</w:t>
      </w:r>
    </w:p>
    <w:p w14:paraId="5AC04A39" w14:textId="3B4B9156" w:rsidR="00937156" w:rsidRPr="0025498C" w:rsidRDefault="00937156" w:rsidP="0025498C">
      <w:pPr>
        <w:pStyle w:val="Akapitzlist"/>
        <w:numPr>
          <w:ilvl w:val="0"/>
          <w:numId w:val="28"/>
        </w:numPr>
        <w:tabs>
          <w:tab w:val="left" w:pos="1134"/>
        </w:tabs>
        <w:spacing w:line="360" w:lineRule="auto"/>
        <w:ind w:left="851" w:hanging="77"/>
        <w:jc w:val="both"/>
        <w:rPr>
          <w:rFonts w:ascii="Century" w:hAnsi="Century"/>
          <w:sz w:val="20"/>
          <w:szCs w:val="20"/>
        </w:rPr>
      </w:pPr>
      <w:r w:rsidRPr="00937156">
        <w:rPr>
          <w:rFonts w:ascii="Century" w:hAnsi="Century"/>
          <w:color w:val="000000"/>
          <w:sz w:val="20"/>
          <w:szCs w:val="20"/>
        </w:rPr>
        <w:t>Przebudowa i rozbudowa oczyszczalni ścieków w Trzcielu</w:t>
      </w:r>
      <w:r w:rsidR="0025498C">
        <w:rPr>
          <w:rFonts w:ascii="Century" w:hAnsi="Century"/>
          <w:color w:val="000000"/>
          <w:sz w:val="20"/>
          <w:szCs w:val="20"/>
        </w:rPr>
        <w:t xml:space="preserve"> w kwocie </w:t>
      </w:r>
      <w:r w:rsidRPr="00937156">
        <w:rPr>
          <w:rFonts w:ascii="Century" w:hAnsi="Century"/>
          <w:sz w:val="20"/>
          <w:szCs w:val="20"/>
        </w:rPr>
        <w:t>4</w:t>
      </w:r>
      <w:r w:rsidR="0025498C">
        <w:rPr>
          <w:rFonts w:ascii="Century" w:hAnsi="Century"/>
          <w:sz w:val="20"/>
          <w:szCs w:val="20"/>
        </w:rPr>
        <w:t xml:space="preserve"> </w:t>
      </w:r>
      <w:r w:rsidRPr="00937156">
        <w:rPr>
          <w:rFonts w:ascii="Century" w:hAnsi="Century"/>
          <w:sz w:val="20"/>
          <w:szCs w:val="20"/>
        </w:rPr>
        <w:t>000</w:t>
      </w:r>
      <w:r w:rsidR="0025498C">
        <w:rPr>
          <w:rFonts w:ascii="Century" w:hAnsi="Century"/>
          <w:sz w:val="20"/>
          <w:szCs w:val="20"/>
        </w:rPr>
        <w:t xml:space="preserve"> </w:t>
      </w:r>
      <w:r w:rsidRPr="00937156">
        <w:rPr>
          <w:rFonts w:ascii="Century" w:hAnsi="Century"/>
          <w:sz w:val="20"/>
          <w:szCs w:val="20"/>
        </w:rPr>
        <w:t>000,00 zł</w:t>
      </w:r>
      <w:r w:rsidR="0025498C">
        <w:rPr>
          <w:rFonts w:ascii="Century" w:hAnsi="Century"/>
          <w:sz w:val="20"/>
          <w:szCs w:val="20"/>
        </w:rPr>
        <w:t>;</w:t>
      </w:r>
    </w:p>
    <w:p w14:paraId="28AA11BF" w14:textId="3B1B6CFD" w:rsidR="00D96659" w:rsidRPr="0025498C" w:rsidRDefault="00937156" w:rsidP="0025498C">
      <w:pPr>
        <w:pStyle w:val="Akapitzlist"/>
        <w:numPr>
          <w:ilvl w:val="0"/>
          <w:numId w:val="25"/>
        </w:numPr>
        <w:spacing w:before="240" w:line="360" w:lineRule="auto"/>
        <w:jc w:val="both"/>
        <w:rPr>
          <w:rFonts w:ascii="Century" w:hAnsi="Century"/>
          <w:sz w:val="20"/>
          <w:szCs w:val="20"/>
        </w:rPr>
      </w:pPr>
      <w:r w:rsidRPr="00937156">
        <w:rPr>
          <w:rFonts w:ascii="Century" w:hAnsi="Century"/>
          <w:sz w:val="20"/>
          <w:szCs w:val="20"/>
        </w:rPr>
        <w:lastRenderedPageBreak/>
        <w:t>pomoc finansową w formie dotacji celowej z Urzędu Marszałkowskiego Województwa Lubuskiego na dofinansowanie zadania „Budowa bieżni lekkoatletycznej, rzutni do pchnięcia kulą oraz przebudowa boiska przy Zespole Edukacyjnym w Trzcielu”</w:t>
      </w:r>
      <w:r w:rsidR="00EB2DB0">
        <w:rPr>
          <w:rFonts w:ascii="Century" w:hAnsi="Century"/>
          <w:sz w:val="20"/>
          <w:szCs w:val="20"/>
        </w:rPr>
        <w:t xml:space="preserve"> w kwocie 100 000,00 zł</w:t>
      </w:r>
      <w:r w:rsidRPr="00937156">
        <w:rPr>
          <w:rFonts w:ascii="Century" w:hAnsi="Century"/>
          <w:sz w:val="20"/>
          <w:szCs w:val="20"/>
        </w:rPr>
        <w:t>.</w:t>
      </w:r>
    </w:p>
    <w:p w14:paraId="711F09AD" w14:textId="77777777" w:rsidR="007827AF" w:rsidRDefault="007E56D3" w:rsidP="0025498C">
      <w:pPr>
        <w:spacing w:before="240" w:line="360" w:lineRule="auto"/>
        <w:jc w:val="both"/>
        <w:rPr>
          <w:rFonts w:ascii="Century" w:hAnsi="Century"/>
          <w:sz w:val="20"/>
          <w:szCs w:val="20"/>
        </w:rPr>
      </w:pPr>
      <w:r w:rsidRPr="009C0701">
        <w:rPr>
          <w:rFonts w:ascii="Century" w:hAnsi="Century"/>
          <w:sz w:val="20"/>
          <w:szCs w:val="20"/>
        </w:rPr>
        <w:t>Dotacje oraz środki na inwestycje zaplanowano również w latach 2024</w:t>
      </w:r>
      <w:r w:rsidR="00D96659">
        <w:rPr>
          <w:rFonts w:ascii="Century" w:hAnsi="Century"/>
          <w:sz w:val="20"/>
          <w:szCs w:val="20"/>
        </w:rPr>
        <w:t xml:space="preserve"> - </w:t>
      </w:r>
      <w:r w:rsidRPr="009C0701">
        <w:rPr>
          <w:rFonts w:ascii="Century" w:hAnsi="Century"/>
          <w:sz w:val="20"/>
          <w:szCs w:val="20"/>
        </w:rPr>
        <w:t>2038 w łącznej kwocie 21 227 500,00 zł.</w:t>
      </w:r>
      <w:r w:rsidR="00FA533E">
        <w:rPr>
          <w:rFonts w:ascii="Century" w:hAnsi="Century"/>
          <w:sz w:val="20"/>
          <w:szCs w:val="20"/>
        </w:rPr>
        <w:t xml:space="preserve"> </w:t>
      </w:r>
    </w:p>
    <w:p w14:paraId="00E17DE5" w14:textId="42E0D83A" w:rsidR="00D96659" w:rsidRPr="008B45CB" w:rsidRDefault="00FA533E" w:rsidP="00F24406">
      <w:pPr>
        <w:spacing w:line="360" w:lineRule="auto"/>
        <w:jc w:val="both"/>
        <w:rPr>
          <w:rFonts w:ascii="Century" w:hAnsi="Century"/>
          <w:color w:val="FF0000"/>
          <w:sz w:val="20"/>
          <w:szCs w:val="20"/>
        </w:rPr>
      </w:pPr>
      <w:r w:rsidRPr="00FA533E">
        <w:rPr>
          <w:rFonts w:ascii="Century" w:hAnsi="Century"/>
          <w:sz w:val="20"/>
          <w:szCs w:val="20"/>
        </w:rPr>
        <w:t xml:space="preserve">Między innymi </w:t>
      </w:r>
      <w:r w:rsidRPr="00FA533E">
        <w:rPr>
          <w:rFonts w:ascii="Century" w:hAnsi="Century"/>
          <w:sz w:val="20"/>
          <w:szCs w:val="20"/>
          <w:lang w:eastAsia="en-US"/>
        </w:rPr>
        <w:t xml:space="preserve">w </w:t>
      </w:r>
      <w:r w:rsidR="00D96659" w:rsidRPr="00FA533E">
        <w:rPr>
          <w:rFonts w:ascii="Century" w:hAnsi="Century"/>
          <w:sz w:val="20"/>
          <w:szCs w:val="20"/>
          <w:lang w:eastAsia="en-US"/>
        </w:rPr>
        <w:t>latach 202</w:t>
      </w:r>
      <w:r w:rsidRPr="00FA533E">
        <w:rPr>
          <w:rFonts w:ascii="Century" w:hAnsi="Century"/>
          <w:sz w:val="20"/>
          <w:szCs w:val="20"/>
          <w:lang w:eastAsia="en-US"/>
        </w:rPr>
        <w:t>4</w:t>
      </w:r>
      <w:r w:rsidR="00D96659" w:rsidRPr="00FA533E">
        <w:rPr>
          <w:rFonts w:ascii="Century" w:hAnsi="Century"/>
          <w:sz w:val="20"/>
          <w:szCs w:val="20"/>
          <w:lang w:eastAsia="en-US"/>
        </w:rPr>
        <w:t xml:space="preserve"> - 202</w:t>
      </w:r>
      <w:r w:rsidRPr="00FA533E">
        <w:rPr>
          <w:rFonts w:ascii="Century" w:hAnsi="Century"/>
          <w:sz w:val="20"/>
          <w:szCs w:val="20"/>
          <w:lang w:eastAsia="en-US"/>
        </w:rPr>
        <w:t>5</w:t>
      </w:r>
      <w:r w:rsidR="00D96659" w:rsidRPr="00FA533E">
        <w:rPr>
          <w:rFonts w:ascii="Century" w:hAnsi="Century"/>
          <w:sz w:val="20"/>
          <w:szCs w:val="20"/>
          <w:lang w:eastAsia="en-US"/>
        </w:rPr>
        <w:t xml:space="preserve"> roku widoczny jest wzrost dochodów majątkowych, ponieważ planujemy uzyskać dochody stanowiące </w:t>
      </w:r>
      <w:r w:rsidR="0025498C" w:rsidRPr="0025498C">
        <w:rPr>
          <w:rFonts w:ascii="Century" w:hAnsi="Century"/>
          <w:sz w:val="20"/>
          <w:szCs w:val="20"/>
        </w:rPr>
        <w:t>środki z Rządowego Funduszu Polski Ład: Program Inwestycji Strategicznych na realizację zadań inwestycyjnych, stanowiące środki z Funduszu Przeciwdziałania COVID-19</w:t>
      </w:r>
      <w:r w:rsidR="00D96659" w:rsidRPr="0025498C">
        <w:rPr>
          <w:rFonts w:ascii="Century" w:hAnsi="Century"/>
          <w:sz w:val="20"/>
          <w:szCs w:val="20"/>
        </w:rPr>
        <w:t>.</w:t>
      </w:r>
    </w:p>
    <w:p w14:paraId="539009B7" w14:textId="77777777" w:rsidR="007E56D3" w:rsidRPr="00624BB1" w:rsidRDefault="007E56D3" w:rsidP="00261C41">
      <w:pPr>
        <w:pStyle w:val="Nagwek1"/>
        <w:keepNext/>
        <w:spacing w:after="160" w:line="360" w:lineRule="auto"/>
        <w:rPr>
          <w:rFonts w:ascii="Century" w:hAnsi="Century" w:cs="Calibri"/>
          <w:b/>
          <w:bCs w:val="0"/>
          <w:sz w:val="22"/>
          <w:szCs w:val="22"/>
        </w:rPr>
      </w:pPr>
      <w:r w:rsidRPr="00624BB1">
        <w:rPr>
          <w:rFonts w:ascii="Century" w:hAnsi="Century"/>
          <w:b/>
          <w:bCs w:val="0"/>
          <w:sz w:val="22"/>
          <w:szCs w:val="22"/>
        </w:rPr>
        <w:t>2. Wydatki</w:t>
      </w:r>
    </w:p>
    <w:p w14:paraId="57D18673" w14:textId="77777777" w:rsidR="007E56D3" w:rsidRPr="00624BB1" w:rsidRDefault="007E56D3" w:rsidP="00261C41">
      <w:pPr>
        <w:spacing w:line="360" w:lineRule="auto"/>
        <w:jc w:val="both"/>
        <w:rPr>
          <w:rFonts w:ascii="Century" w:hAnsi="Century" w:cs="Calibri"/>
          <w:sz w:val="20"/>
          <w:szCs w:val="20"/>
        </w:rPr>
      </w:pPr>
      <w:r w:rsidRPr="00624BB1">
        <w:rPr>
          <w:rFonts w:ascii="Century" w:hAnsi="Century"/>
          <w:sz w:val="20"/>
          <w:szCs w:val="20"/>
        </w:rPr>
        <w:t>Prognozy wydatków Gminy Trzciel dokonano w podziale na kategorie wydatków bieżących i wydatków majątkowych.</w:t>
      </w:r>
    </w:p>
    <w:p w14:paraId="1C1FC2DF" w14:textId="77777777" w:rsidR="007E56D3" w:rsidRPr="00624BB1" w:rsidRDefault="007E56D3" w:rsidP="00837FE3">
      <w:pPr>
        <w:pStyle w:val="Nagwek2"/>
        <w:spacing w:after="160" w:line="360" w:lineRule="auto"/>
        <w:rPr>
          <w:rFonts w:ascii="Century" w:hAnsi="Century" w:cs="Calibri"/>
          <w:b/>
          <w:bCs/>
          <w:color w:val="auto"/>
          <w:sz w:val="22"/>
          <w:szCs w:val="22"/>
        </w:rPr>
      </w:pPr>
      <w:r w:rsidRPr="00624BB1">
        <w:rPr>
          <w:rFonts w:ascii="Century" w:hAnsi="Century"/>
          <w:b/>
          <w:bCs/>
          <w:color w:val="auto"/>
          <w:sz w:val="22"/>
          <w:szCs w:val="22"/>
        </w:rPr>
        <w:t>2.1. Wydatki bieżące</w:t>
      </w:r>
    </w:p>
    <w:p w14:paraId="0983975E" w14:textId="77777777" w:rsidR="007E56D3" w:rsidRPr="00624BB1" w:rsidRDefault="007E56D3" w:rsidP="00837FE3">
      <w:pPr>
        <w:spacing w:line="360" w:lineRule="auto"/>
        <w:jc w:val="both"/>
        <w:rPr>
          <w:rFonts w:ascii="Century" w:hAnsi="Century" w:cs="Calibri"/>
          <w:sz w:val="20"/>
          <w:szCs w:val="20"/>
        </w:rPr>
      </w:pPr>
      <w:r w:rsidRPr="00624BB1">
        <w:rPr>
          <w:rFonts w:ascii="Century" w:hAnsi="Century"/>
          <w:sz w:val="20"/>
          <w:szCs w:val="20"/>
        </w:rPr>
        <w:t>Poziom prognozowanych wydatków bieżących zdeterminowany jest zakresem realizowanych zadań oraz możliwościami finansowymi. Priorytetem w zakresie planowania wydatków było zapewnienie odpowiednich środków na utrzymanie dotychczasowego zakresu i poziomu usług świadczonych na rzecz mieszkańców. Wydatki bieżące prognozowano w podziale na:</w:t>
      </w:r>
    </w:p>
    <w:p w14:paraId="1852A706" w14:textId="77777777" w:rsidR="007E56D3" w:rsidRPr="00624BB1" w:rsidRDefault="007E56D3" w:rsidP="00837FE3">
      <w:pPr>
        <w:pStyle w:val="Akapitzlist"/>
        <w:widowControl w:val="0"/>
        <w:numPr>
          <w:ilvl w:val="0"/>
          <w:numId w:val="16"/>
        </w:numPr>
        <w:autoSpaceDE w:val="0"/>
        <w:autoSpaceDN w:val="0"/>
        <w:adjustRightInd w:val="0"/>
        <w:spacing w:after="160" w:line="360" w:lineRule="auto"/>
        <w:jc w:val="both"/>
        <w:rPr>
          <w:rFonts w:ascii="Century" w:hAnsi="Century" w:cs="Calibri"/>
          <w:sz w:val="20"/>
          <w:szCs w:val="20"/>
        </w:rPr>
      </w:pPr>
      <w:r w:rsidRPr="00624BB1">
        <w:rPr>
          <w:rFonts w:ascii="Century" w:hAnsi="Century"/>
          <w:sz w:val="20"/>
          <w:szCs w:val="20"/>
        </w:rPr>
        <w:t>wynagrodzenia i składki od nich naliczane;</w:t>
      </w:r>
    </w:p>
    <w:p w14:paraId="35DE5BA9" w14:textId="77777777" w:rsidR="007E56D3" w:rsidRPr="00624BB1" w:rsidRDefault="007E56D3" w:rsidP="00837FE3">
      <w:pPr>
        <w:pStyle w:val="Akapitzlist"/>
        <w:widowControl w:val="0"/>
        <w:numPr>
          <w:ilvl w:val="0"/>
          <w:numId w:val="16"/>
        </w:numPr>
        <w:autoSpaceDE w:val="0"/>
        <w:autoSpaceDN w:val="0"/>
        <w:adjustRightInd w:val="0"/>
        <w:spacing w:after="160" w:line="360" w:lineRule="auto"/>
        <w:jc w:val="both"/>
        <w:rPr>
          <w:rFonts w:ascii="Century" w:hAnsi="Century" w:cs="Calibri"/>
          <w:sz w:val="20"/>
          <w:szCs w:val="20"/>
        </w:rPr>
      </w:pPr>
      <w:r w:rsidRPr="00624BB1">
        <w:rPr>
          <w:rFonts w:ascii="Century" w:hAnsi="Century"/>
          <w:sz w:val="20"/>
          <w:szCs w:val="20"/>
        </w:rPr>
        <w:t>wydatki związane z obsługą zadłużenia, w tym odsetki i dyskonto;</w:t>
      </w:r>
    </w:p>
    <w:p w14:paraId="2E6F2B00" w14:textId="77777777" w:rsidR="007E56D3" w:rsidRPr="00624BB1" w:rsidRDefault="007E56D3" w:rsidP="00837FE3">
      <w:pPr>
        <w:pStyle w:val="Akapitzlist"/>
        <w:widowControl w:val="0"/>
        <w:numPr>
          <w:ilvl w:val="0"/>
          <w:numId w:val="16"/>
        </w:numPr>
        <w:autoSpaceDE w:val="0"/>
        <w:autoSpaceDN w:val="0"/>
        <w:adjustRightInd w:val="0"/>
        <w:spacing w:after="160" w:line="360" w:lineRule="auto"/>
        <w:jc w:val="both"/>
        <w:rPr>
          <w:rFonts w:ascii="Century" w:hAnsi="Century" w:cs="Calibri"/>
          <w:sz w:val="20"/>
          <w:szCs w:val="20"/>
        </w:rPr>
      </w:pPr>
      <w:r w:rsidRPr="00624BB1">
        <w:rPr>
          <w:rFonts w:ascii="Century" w:hAnsi="Century"/>
          <w:sz w:val="20"/>
          <w:szCs w:val="20"/>
        </w:rPr>
        <w:t>pozostałe wydatki bieżące.</w:t>
      </w:r>
    </w:p>
    <w:p w14:paraId="79D17936" w14:textId="1CF57F8E" w:rsidR="007E56D3" w:rsidRPr="00624BB1" w:rsidRDefault="007E56D3" w:rsidP="00837FE3">
      <w:pPr>
        <w:spacing w:line="360" w:lineRule="auto"/>
        <w:jc w:val="both"/>
        <w:rPr>
          <w:rFonts w:ascii="Century" w:hAnsi="Century" w:cs="Calibri"/>
          <w:sz w:val="20"/>
          <w:szCs w:val="20"/>
        </w:rPr>
      </w:pPr>
      <w:r w:rsidRPr="00624BB1">
        <w:rPr>
          <w:rFonts w:ascii="Century" w:hAnsi="Century"/>
          <w:sz w:val="20"/>
          <w:szCs w:val="20"/>
        </w:rPr>
        <w:t xml:space="preserve">Uwzględniając dotychczasowe kształtowanie się wydatków budżetu Gminy Trzciel oraz przewidywania na następne lata, w poszczególnych kategoriach wydatków bieżących </w:t>
      </w:r>
      <w:r w:rsidR="00837FE3">
        <w:rPr>
          <w:rFonts w:ascii="Century" w:hAnsi="Century"/>
          <w:sz w:val="20"/>
          <w:szCs w:val="20"/>
        </w:rPr>
        <w:t>przyjęto odrębne prognozowanie.</w:t>
      </w:r>
    </w:p>
    <w:p w14:paraId="00942FE6" w14:textId="77777777" w:rsidR="007E56D3" w:rsidRPr="00624BB1" w:rsidRDefault="007E56D3" w:rsidP="00BE1DB7">
      <w:pPr>
        <w:pStyle w:val="Nagwek3"/>
        <w:spacing w:line="360" w:lineRule="auto"/>
        <w:rPr>
          <w:rFonts w:ascii="Century" w:hAnsi="Century" w:cs="Calibri"/>
          <w:b/>
          <w:bCs/>
          <w:color w:val="auto"/>
          <w:sz w:val="22"/>
          <w:szCs w:val="22"/>
        </w:rPr>
      </w:pPr>
      <w:r w:rsidRPr="00624BB1">
        <w:rPr>
          <w:rFonts w:ascii="Century" w:hAnsi="Century"/>
          <w:b/>
          <w:bCs/>
          <w:color w:val="auto"/>
          <w:sz w:val="22"/>
          <w:szCs w:val="22"/>
        </w:rPr>
        <w:t>Wynagrodzenia i pochodne od wynagrodzeń</w:t>
      </w:r>
    </w:p>
    <w:p w14:paraId="5E9A7C71" w14:textId="398DD73F" w:rsidR="004A1F2F" w:rsidRDefault="007E56D3" w:rsidP="00837FE3">
      <w:pPr>
        <w:spacing w:line="360" w:lineRule="auto"/>
        <w:rPr>
          <w:rFonts w:ascii="Century" w:hAnsi="Century"/>
          <w:sz w:val="20"/>
          <w:szCs w:val="20"/>
        </w:rPr>
      </w:pPr>
      <w:r w:rsidRPr="00624BB1">
        <w:rPr>
          <w:rFonts w:ascii="Century" w:hAnsi="Century"/>
          <w:sz w:val="20"/>
          <w:szCs w:val="20"/>
        </w:rPr>
        <w:t xml:space="preserve">Zgodnie z założeniami przyjętymi przy prognozie dochodów, dla wydatków bieżących w roku 2023 przyjęto wartości wynikające z projektu budżetu. W 2023 r. w budżecie Gminy Trzciel wydatki na wynagrodzenia pochodne od wynagrodzeń zabezpieczono w wysokości 14 393 510,00 zł, co stanowi zmianę w stosunku do przewidywanego wykonania na koniec 2022 r. o kwotę 1 000 524,19 zł. </w:t>
      </w:r>
    </w:p>
    <w:p w14:paraId="118753F9" w14:textId="38893596" w:rsidR="004A1F2F" w:rsidRDefault="00740915" w:rsidP="00740915">
      <w:pPr>
        <w:spacing w:line="360" w:lineRule="auto"/>
        <w:jc w:val="both"/>
        <w:rPr>
          <w:rFonts w:ascii="Century" w:hAnsi="Century"/>
          <w:sz w:val="20"/>
          <w:szCs w:val="20"/>
        </w:rPr>
      </w:pPr>
      <w:r w:rsidRPr="00740915">
        <w:rPr>
          <w:rFonts w:ascii="Century" w:hAnsi="Century"/>
          <w:sz w:val="20"/>
          <w:szCs w:val="20"/>
        </w:rPr>
        <w:t>Wzrost wydatków na wynagrodzenia i pochodne od nich naliczane między innymi poprzez skutek wzrostu wynagrodzeń nauczycieli, wzrost płacy minimalnej, która jednocześnie stanowi płacę zasadniczą, dwukrotnie w 2023 r. (tj. od stycznia 2023 r. oraz od lipca 2023 r.), co stanowi wzrost o 19,60 % w stosunku do roku 2022 r., wzrost wynagrodzeń pozostałych pracowników administracji i obsługi, których nie obejmuje regulacja płacy minimalnej o 10% od 1 stycznia 2023 r. oraz konieczność wypłat odpraw emerytalnych, nagród jubileuszowych, jak również wynagrodzeń nauczycieli przebywających na urlopach zdrowotnych.</w:t>
      </w:r>
    </w:p>
    <w:p w14:paraId="4FFE3ABC" w14:textId="4F71EB74" w:rsidR="007E56D3" w:rsidRPr="004B2D53" w:rsidRDefault="007E56D3" w:rsidP="00740915">
      <w:pPr>
        <w:spacing w:line="360" w:lineRule="auto"/>
        <w:jc w:val="both"/>
        <w:rPr>
          <w:rFonts w:ascii="Century" w:hAnsi="Century" w:cs="Calibri"/>
          <w:sz w:val="20"/>
          <w:szCs w:val="20"/>
        </w:rPr>
      </w:pPr>
      <w:r w:rsidRPr="004B2D53">
        <w:rPr>
          <w:rFonts w:ascii="Century" w:hAnsi="Century"/>
          <w:sz w:val="20"/>
          <w:szCs w:val="20"/>
        </w:rPr>
        <w:lastRenderedPageBreak/>
        <w:t xml:space="preserve">W latach 2024-2038 </w:t>
      </w:r>
      <w:r w:rsidR="00740915" w:rsidRPr="004B2D53">
        <w:rPr>
          <w:rFonts w:ascii="Century" w:hAnsi="Century"/>
          <w:sz w:val="20"/>
          <w:szCs w:val="20"/>
        </w:rPr>
        <w:t>w zakresie</w:t>
      </w:r>
      <w:r w:rsidRPr="004B2D53">
        <w:rPr>
          <w:rFonts w:ascii="Century" w:hAnsi="Century"/>
          <w:sz w:val="20"/>
          <w:szCs w:val="20"/>
        </w:rPr>
        <w:t xml:space="preserve"> </w:t>
      </w:r>
      <w:r w:rsidR="00740915" w:rsidRPr="004B2D53">
        <w:rPr>
          <w:rFonts w:ascii="Century" w:hAnsi="Century"/>
          <w:sz w:val="20"/>
          <w:szCs w:val="20"/>
        </w:rPr>
        <w:t xml:space="preserve">planowanych </w:t>
      </w:r>
      <w:r w:rsidRPr="004B2D53">
        <w:rPr>
          <w:rFonts w:ascii="Century" w:hAnsi="Century"/>
          <w:sz w:val="20"/>
          <w:szCs w:val="20"/>
        </w:rPr>
        <w:t xml:space="preserve">wydatków na wynagrodzenia i pochodne od wynagrodzeń </w:t>
      </w:r>
      <w:r w:rsidR="00740915" w:rsidRPr="004B2D53">
        <w:rPr>
          <w:rFonts w:ascii="Century" w:hAnsi="Century"/>
          <w:sz w:val="20"/>
          <w:szCs w:val="20"/>
        </w:rPr>
        <w:t>przyjęto odrębne prognozowanie, w oparciu o możliwości finansowe</w:t>
      </w:r>
      <w:r w:rsidR="004B2D53" w:rsidRPr="004B2D53">
        <w:rPr>
          <w:rFonts w:ascii="Century" w:hAnsi="Century"/>
          <w:sz w:val="20"/>
          <w:szCs w:val="20"/>
        </w:rPr>
        <w:t xml:space="preserve">, </w:t>
      </w:r>
      <w:r w:rsidR="004B2D53" w:rsidRPr="004B2D53">
        <w:rPr>
          <w:rFonts w:ascii="Century" w:hAnsi="Century" w:cs="Century"/>
          <w:sz w:val="20"/>
          <w:szCs w:val="20"/>
          <w:lang w:eastAsia="en-US"/>
        </w:rPr>
        <w:t xml:space="preserve">na </w:t>
      </w:r>
      <w:r w:rsidR="00423B5D" w:rsidRPr="004B2D53">
        <w:rPr>
          <w:rFonts w:ascii="Century" w:hAnsi="Century" w:cs="Century"/>
          <w:sz w:val="20"/>
          <w:szCs w:val="20"/>
          <w:lang w:eastAsia="en-US"/>
        </w:rPr>
        <w:t>poziomie nieco</w:t>
      </w:r>
      <w:r w:rsidR="004B2D53" w:rsidRPr="004B2D53">
        <w:rPr>
          <w:rFonts w:ascii="Century" w:hAnsi="Century" w:cs="Century"/>
          <w:sz w:val="20"/>
          <w:szCs w:val="20"/>
          <w:lang w:eastAsia="en-US"/>
        </w:rPr>
        <w:t xml:space="preserve"> niższym niż prognozowany wskaźnik CPI</w:t>
      </w:r>
      <w:r w:rsidR="00740915" w:rsidRPr="004B2D53">
        <w:rPr>
          <w:rFonts w:ascii="Century" w:hAnsi="Century"/>
          <w:sz w:val="20"/>
          <w:szCs w:val="20"/>
        </w:rPr>
        <w:t>.</w:t>
      </w:r>
    </w:p>
    <w:p w14:paraId="67201044" w14:textId="77777777" w:rsidR="007E56D3" w:rsidRPr="00624BB1" w:rsidRDefault="007E56D3" w:rsidP="00740915">
      <w:pPr>
        <w:pStyle w:val="Nagwek3"/>
        <w:spacing w:line="360" w:lineRule="auto"/>
        <w:jc w:val="both"/>
        <w:rPr>
          <w:rFonts w:ascii="Century" w:hAnsi="Century" w:cs="Calibri"/>
          <w:b/>
          <w:bCs/>
          <w:color w:val="auto"/>
          <w:sz w:val="22"/>
          <w:szCs w:val="22"/>
        </w:rPr>
      </w:pPr>
      <w:r w:rsidRPr="00624BB1">
        <w:rPr>
          <w:rFonts w:ascii="Century" w:hAnsi="Century"/>
          <w:b/>
          <w:bCs/>
          <w:color w:val="auto"/>
          <w:sz w:val="22"/>
          <w:szCs w:val="22"/>
        </w:rPr>
        <w:t>Poręczenia i gwarancje</w:t>
      </w:r>
    </w:p>
    <w:p w14:paraId="541D016E" w14:textId="77777777" w:rsidR="007E56D3" w:rsidRPr="00624BB1" w:rsidRDefault="007E56D3" w:rsidP="00740915">
      <w:pPr>
        <w:spacing w:line="360" w:lineRule="auto"/>
        <w:jc w:val="both"/>
        <w:rPr>
          <w:rFonts w:ascii="Century" w:hAnsi="Century" w:cs="Calibri"/>
          <w:sz w:val="20"/>
          <w:szCs w:val="20"/>
        </w:rPr>
      </w:pPr>
      <w:r w:rsidRPr="00624BB1">
        <w:rPr>
          <w:rFonts w:ascii="Century" w:hAnsi="Century"/>
          <w:sz w:val="20"/>
          <w:szCs w:val="20"/>
        </w:rPr>
        <w:t>W okresie prognozy Gmina Trzciel nie planuje wydatków z tytułu poręczeń i gwarancji.</w:t>
      </w:r>
    </w:p>
    <w:p w14:paraId="77CCB50B" w14:textId="77777777" w:rsidR="007E56D3" w:rsidRPr="00624BB1" w:rsidRDefault="007E56D3" w:rsidP="00740915">
      <w:pPr>
        <w:pStyle w:val="Nagwek3"/>
        <w:spacing w:line="360" w:lineRule="auto"/>
        <w:jc w:val="both"/>
        <w:rPr>
          <w:rFonts w:ascii="Century" w:hAnsi="Century" w:cs="Calibri"/>
          <w:b/>
          <w:bCs/>
          <w:color w:val="auto"/>
          <w:sz w:val="22"/>
          <w:szCs w:val="22"/>
        </w:rPr>
      </w:pPr>
      <w:r w:rsidRPr="00624BB1">
        <w:rPr>
          <w:rFonts w:ascii="Century" w:hAnsi="Century"/>
          <w:b/>
          <w:bCs/>
          <w:color w:val="auto"/>
          <w:sz w:val="22"/>
          <w:szCs w:val="22"/>
        </w:rPr>
        <w:t>Odsetki i dyskonto</w:t>
      </w:r>
    </w:p>
    <w:p w14:paraId="034A7045" w14:textId="77777777" w:rsidR="007E56D3" w:rsidRPr="00624BB1" w:rsidRDefault="007E56D3" w:rsidP="00740915">
      <w:pPr>
        <w:spacing w:line="360" w:lineRule="auto"/>
        <w:jc w:val="both"/>
        <w:rPr>
          <w:rFonts w:ascii="Century" w:hAnsi="Century" w:cs="Calibri"/>
          <w:sz w:val="20"/>
          <w:szCs w:val="20"/>
        </w:rPr>
      </w:pPr>
      <w:r w:rsidRPr="00624BB1">
        <w:rPr>
          <w:rFonts w:ascii="Century" w:hAnsi="Century"/>
          <w:sz w:val="20"/>
          <w:szCs w:val="20"/>
        </w:rPr>
        <w:t>Wydatki na obsługę długu skalkulowano w oparciu o obowiązujące stawki WIBOR jak również warunki wynikające z zawartych umów (w przypadku zobowiązań historycznych). Zgodnie z projekcją inflacji opublikowaną przez Narodowy Bank Polski, osiągnie ona szczyt w pierwszym kwartale 2023 roku. Od tego momentu prognozowany jest spadek inflacji, która z końcem 2024 powinna kształtować się na poziomie między 2% a 4%. Do kalkulacji kosztów obsługi długu przyjęto zgodnie z powyższym, że skorelowany z inflacją poziom stóp procentowych również od I półrocza 2023 zacznie relatywnie powoli spadać, natomiast dynamika spadku poziomu stóp procentowych będzie wolniejsza od dynamiki spadku poziomu inflacji i do ustabilizowania poziomu stóp procentowych dojdzie w 2029 roku. W związku z powyższym odsetki skalkulowano w oparciu o prognozę własną WIBOR.</w:t>
      </w:r>
    </w:p>
    <w:p w14:paraId="59C1B18D" w14:textId="77777777" w:rsidR="007E56D3" w:rsidRPr="00624BB1" w:rsidRDefault="007E56D3" w:rsidP="00306332">
      <w:pPr>
        <w:spacing w:line="360" w:lineRule="auto"/>
        <w:jc w:val="both"/>
        <w:rPr>
          <w:rFonts w:ascii="Century" w:hAnsi="Century" w:cs="Calibri"/>
          <w:sz w:val="20"/>
          <w:szCs w:val="20"/>
        </w:rPr>
      </w:pPr>
      <w:r w:rsidRPr="00624BB1">
        <w:rPr>
          <w:rFonts w:ascii="Century" w:hAnsi="Century"/>
          <w:sz w:val="20"/>
          <w:szCs w:val="20"/>
        </w:rPr>
        <w:t>Dodatkowo, w prognozie WPF uwzględniono również koszty obsługi zobowiązania planowanego do zaciągnięcia.</w:t>
      </w:r>
    </w:p>
    <w:p w14:paraId="76C547B0" w14:textId="77777777" w:rsidR="007E56D3" w:rsidRPr="00624BB1" w:rsidRDefault="007E56D3" w:rsidP="00740915">
      <w:pPr>
        <w:pStyle w:val="Nagwek3"/>
        <w:spacing w:line="360" w:lineRule="auto"/>
        <w:rPr>
          <w:rFonts w:ascii="Century" w:hAnsi="Century" w:cs="Calibri"/>
          <w:b/>
          <w:bCs/>
          <w:color w:val="auto"/>
          <w:sz w:val="22"/>
          <w:szCs w:val="22"/>
        </w:rPr>
      </w:pPr>
      <w:r w:rsidRPr="00624BB1">
        <w:rPr>
          <w:rFonts w:ascii="Century" w:hAnsi="Century"/>
          <w:b/>
          <w:bCs/>
          <w:color w:val="auto"/>
          <w:sz w:val="22"/>
          <w:szCs w:val="22"/>
        </w:rPr>
        <w:t>Pozostałe wydatki bieżące</w:t>
      </w:r>
    </w:p>
    <w:p w14:paraId="2793DF2B" w14:textId="0F163590" w:rsidR="006F5E5F" w:rsidRPr="006F5E5F" w:rsidRDefault="006F5E5F" w:rsidP="006F5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6F5E5F">
        <w:rPr>
          <w:rFonts w:ascii="Century" w:hAnsi="Century" w:cs="Century"/>
          <w:sz w:val="20"/>
          <w:szCs w:val="20"/>
          <w:lang w:eastAsia="en-US"/>
        </w:rPr>
        <w:t>W 2023 roku wzrost planowanych wydatków bieżących wynika z koniecznych do poniesienia wydatków m.in. na zakup usług remontowych, usług planowania zagospodarowania przestrzennego, dopłat do opłat za ścieki komunalne oraz zwiększonych kosztów utrzymania obiektów, tj. zakupu m. in. energii elektrycznej, gazu, węgla oraz oleju opałowego</w:t>
      </w:r>
      <w:r w:rsidR="00EB2DB0">
        <w:rPr>
          <w:rFonts w:ascii="Century" w:hAnsi="Century" w:cs="Century"/>
          <w:sz w:val="20"/>
          <w:szCs w:val="20"/>
          <w:lang w:eastAsia="en-US"/>
        </w:rPr>
        <w:t>, jak i usług z tym związanych.</w:t>
      </w:r>
    </w:p>
    <w:p w14:paraId="095C1723" w14:textId="1AB83347" w:rsidR="007E56D3" w:rsidRPr="00031B2B" w:rsidRDefault="007E56D3" w:rsidP="00031B2B">
      <w:pPr>
        <w:spacing w:line="360" w:lineRule="auto"/>
        <w:jc w:val="both"/>
        <w:rPr>
          <w:rFonts w:ascii="Century" w:hAnsi="Century" w:cs="Calibri"/>
          <w:sz w:val="20"/>
          <w:szCs w:val="20"/>
        </w:rPr>
      </w:pPr>
      <w:r w:rsidRPr="00031B2B">
        <w:rPr>
          <w:rFonts w:ascii="Century" w:hAnsi="Century"/>
          <w:sz w:val="20"/>
          <w:szCs w:val="20"/>
        </w:rPr>
        <w:t xml:space="preserve">W 2024 r. założono spadek pozostałych wydatków bieżących. </w:t>
      </w:r>
      <w:r w:rsidR="007E381F" w:rsidRPr="00031B2B">
        <w:rPr>
          <w:rFonts w:ascii="Century" w:hAnsi="Century"/>
          <w:sz w:val="20"/>
          <w:szCs w:val="20"/>
        </w:rPr>
        <w:t>P</w:t>
      </w:r>
      <w:r w:rsidRPr="00031B2B">
        <w:rPr>
          <w:rFonts w:ascii="Century" w:hAnsi="Century"/>
          <w:sz w:val="20"/>
          <w:szCs w:val="20"/>
        </w:rPr>
        <w:t>rzewidu</w:t>
      </w:r>
      <w:r w:rsidR="007E381F" w:rsidRPr="00031B2B">
        <w:rPr>
          <w:rFonts w:ascii="Century" w:hAnsi="Century"/>
          <w:sz w:val="20"/>
          <w:szCs w:val="20"/>
        </w:rPr>
        <w:t>je się</w:t>
      </w:r>
      <w:r w:rsidRPr="00031B2B">
        <w:rPr>
          <w:rFonts w:ascii="Century" w:hAnsi="Century"/>
          <w:sz w:val="20"/>
          <w:szCs w:val="20"/>
        </w:rPr>
        <w:t xml:space="preserve"> znaczące oszczędności w budżecie na 2024 r. W tym celu konieczne będzie podjęcie szeregu działań oszczędnościowych w 2023 roku, których efekty finansowe będą widoczne w kolejnym roku. Władze zamierzają szukać oszczędności w zakresie </w:t>
      </w:r>
      <w:r w:rsidR="00031B2B" w:rsidRPr="00031B2B">
        <w:rPr>
          <w:rFonts w:ascii="Century" w:hAnsi="Century"/>
          <w:sz w:val="20"/>
          <w:szCs w:val="20"/>
        </w:rPr>
        <w:t xml:space="preserve">m.in. kultury, </w:t>
      </w:r>
      <w:r w:rsidRPr="00031B2B">
        <w:rPr>
          <w:rFonts w:ascii="Century" w:hAnsi="Century"/>
          <w:sz w:val="20"/>
          <w:szCs w:val="20"/>
        </w:rPr>
        <w:t>oświaty</w:t>
      </w:r>
      <w:r w:rsidR="00031B2B" w:rsidRPr="00031B2B">
        <w:rPr>
          <w:rFonts w:ascii="Century" w:hAnsi="Century"/>
          <w:sz w:val="20"/>
          <w:szCs w:val="20"/>
        </w:rPr>
        <w:t>,</w:t>
      </w:r>
      <w:r w:rsidRPr="00031B2B">
        <w:rPr>
          <w:rFonts w:ascii="Century" w:hAnsi="Century"/>
          <w:sz w:val="20"/>
          <w:szCs w:val="20"/>
        </w:rPr>
        <w:t xml:space="preserve"> promocji, dotacji i wydatków pozostających poza podstawowymi obowiązkami samorządu oraz innych obszarów, które zostaną określone na podstawie wnikliwej analizy struktury wydatków w trakcie roku budżetowego. Dalsze wartości dotyczące pozostałych wydatków bieżących od roku 2025 prognozowane były w oparciu o pomniejszone wartości z 2024 r.</w:t>
      </w:r>
      <w:r w:rsidR="00031B2B" w:rsidRPr="00031B2B">
        <w:rPr>
          <w:rFonts w:ascii="Century" w:hAnsi="Century" w:cs="Century"/>
          <w:sz w:val="20"/>
          <w:szCs w:val="20"/>
          <w:lang w:eastAsia="en-US"/>
        </w:rPr>
        <w:t xml:space="preserve"> na poziomie niższym niż prognozowany wskaźnik CPI w celu utrzymania nadwyżki operacyjnej na wyższym poziomie.</w:t>
      </w:r>
    </w:p>
    <w:p w14:paraId="466CD74C" w14:textId="77777777" w:rsidR="007E56D3" w:rsidRPr="00654C5B" w:rsidRDefault="007E56D3" w:rsidP="00F058E3">
      <w:pPr>
        <w:pStyle w:val="Nagwek2"/>
        <w:spacing w:after="240"/>
        <w:rPr>
          <w:rFonts w:ascii="Century" w:hAnsi="Century" w:cs="Calibri"/>
          <w:b/>
          <w:bCs/>
          <w:color w:val="auto"/>
          <w:sz w:val="22"/>
          <w:szCs w:val="22"/>
        </w:rPr>
      </w:pPr>
      <w:r w:rsidRPr="00654C5B">
        <w:rPr>
          <w:rFonts w:ascii="Century" w:hAnsi="Century"/>
          <w:b/>
          <w:bCs/>
          <w:color w:val="auto"/>
          <w:sz w:val="22"/>
          <w:szCs w:val="22"/>
        </w:rPr>
        <w:t>2.2. Wydatki majątkowe</w:t>
      </w:r>
    </w:p>
    <w:p w14:paraId="588C4B69" w14:textId="190391E5" w:rsidR="007E56D3" w:rsidRPr="00CC3121" w:rsidRDefault="007E56D3" w:rsidP="00CC3121">
      <w:pPr>
        <w:spacing w:line="360" w:lineRule="auto"/>
        <w:jc w:val="both"/>
        <w:rPr>
          <w:rFonts w:ascii="Century" w:hAnsi="Century" w:cs="Calibri"/>
          <w:sz w:val="20"/>
        </w:rPr>
      </w:pPr>
      <w:r w:rsidRPr="00CC3121">
        <w:rPr>
          <w:rFonts w:ascii="Century" w:hAnsi="Century"/>
          <w:sz w:val="20"/>
        </w:rPr>
        <w:t>Wydatki majątkowe obejmują przede wszystkim przedsięwzięcia inwestycyjne, które ujęto w załączniku nr 2 do Wieloletniej Prognozy Finansowej Gminy Trzciel na lata 2023-2038</w:t>
      </w:r>
      <w:r w:rsidR="00EB2DB0">
        <w:rPr>
          <w:rFonts w:ascii="Century" w:hAnsi="Century"/>
          <w:sz w:val="20"/>
        </w:rPr>
        <w:t xml:space="preserve"> (szczegółowo opisane w pkt. 10 Przedsięwzięcia)</w:t>
      </w:r>
      <w:r w:rsidRPr="00CC3121">
        <w:rPr>
          <w:rFonts w:ascii="Century" w:hAnsi="Century"/>
          <w:sz w:val="20"/>
        </w:rPr>
        <w:t>. W kolejnych latach wydatki majątkowe zostały zaplanowane tak, aby pokryły pozostałą po spłacie zobowiązań część tzw. wolnych środków.</w:t>
      </w:r>
    </w:p>
    <w:p w14:paraId="198C4068" w14:textId="77777777" w:rsidR="007E56D3" w:rsidRPr="00AD77D2" w:rsidRDefault="007E56D3" w:rsidP="00AD77D2">
      <w:pPr>
        <w:pStyle w:val="Nagwek1"/>
        <w:keepNext/>
        <w:spacing w:after="160" w:line="360" w:lineRule="auto"/>
        <w:jc w:val="both"/>
        <w:rPr>
          <w:rFonts w:ascii="Century" w:hAnsi="Century" w:cs="Calibri"/>
          <w:b/>
          <w:bCs w:val="0"/>
          <w:sz w:val="22"/>
          <w:szCs w:val="20"/>
        </w:rPr>
      </w:pPr>
      <w:r w:rsidRPr="00AD77D2">
        <w:rPr>
          <w:rFonts w:ascii="Century" w:hAnsi="Century"/>
          <w:b/>
          <w:bCs w:val="0"/>
          <w:sz w:val="22"/>
          <w:szCs w:val="20"/>
        </w:rPr>
        <w:lastRenderedPageBreak/>
        <w:t>3. Wynik budżetu</w:t>
      </w:r>
    </w:p>
    <w:p w14:paraId="348F8DD4" w14:textId="77777777" w:rsidR="007E56D3" w:rsidRPr="00AD77D2" w:rsidRDefault="007E56D3" w:rsidP="00AD77D2">
      <w:pPr>
        <w:spacing w:line="360" w:lineRule="auto"/>
        <w:jc w:val="both"/>
        <w:rPr>
          <w:rFonts w:ascii="Century" w:hAnsi="Century" w:cs="Calibri"/>
          <w:sz w:val="20"/>
        </w:rPr>
      </w:pPr>
      <w:r w:rsidRPr="00AD77D2">
        <w:rPr>
          <w:rFonts w:ascii="Century" w:hAnsi="Century"/>
          <w:sz w:val="20"/>
        </w:rPr>
        <w:t>Wynik budżetu w prognozowanym okresie jest ściśle powiązany z przyjętymi założeniami do prognozy dochodów i wydatków.</w:t>
      </w:r>
    </w:p>
    <w:p w14:paraId="0240D2C3" w14:textId="77777777" w:rsidR="007E56D3" w:rsidRPr="00AD77D2" w:rsidRDefault="007E56D3" w:rsidP="00AD77D2">
      <w:pPr>
        <w:spacing w:line="360" w:lineRule="auto"/>
        <w:jc w:val="both"/>
        <w:rPr>
          <w:rFonts w:ascii="Century" w:hAnsi="Century" w:cs="Calibri"/>
          <w:sz w:val="20"/>
        </w:rPr>
      </w:pPr>
      <w:r w:rsidRPr="00AD77D2">
        <w:rPr>
          <w:rFonts w:ascii="Century" w:hAnsi="Century"/>
          <w:sz w:val="20"/>
        </w:rPr>
        <w:t>W budżecie na 2023 r. zaplanowano ujemną różnicę pomiędzy dochodami i wydatkami budżetowymi. Wynik budżetu planuje się na poziomie -5 843 123,00 zł, a jego pokrycie planuje się z:</w:t>
      </w:r>
    </w:p>
    <w:p w14:paraId="259A32B0" w14:textId="102F13E3" w:rsidR="00214F7F" w:rsidRPr="00214F7F" w:rsidRDefault="007E56D3" w:rsidP="00214F7F">
      <w:pPr>
        <w:pStyle w:val="Akapitzlist"/>
        <w:widowControl w:val="0"/>
        <w:numPr>
          <w:ilvl w:val="0"/>
          <w:numId w:val="17"/>
        </w:numPr>
        <w:autoSpaceDE w:val="0"/>
        <w:autoSpaceDN w:val="0"/>
        <w:adjustRightInd w:val="0"/>
        <w:spacing w:after="160" w:line="360" w:lineRule="auto"/>
        <w:jc w:val="both"/>
        <w:rPr>
          <w:rFonts w:ascii="Century" w:hAnsi="Century" w:cs="Calibri"/>
          <w:sz w:val="20"/>
        </w:rPr>
      </w:pPr>
      <w:r w:rsidRPr="00AD77D2">
        <w:rPr>
          <w:rFonts w:ascii="Century" w:hAnsi="Century"/>
          <w:sz w:val="20"/>
        </w:rPr>
        <w:t xml:space="preserve">kredytów, pożyczek lub papierów wartościowych </w:t>
      </w:r>
      <w:r w:rsidR="00186D65">
        <w:rPr>
          <w:rFonts w:ascii="Century" w:hAnsi="Century"/>
          <w:sz w:val="20"/>
        </w:rPr>
        <w:t>-</w:t>
      </w:r>
      <w:r w:rsidRPr="00AD77D2">
        <w:rPr>
          <w:rFonts w:ascii="Century" w:hAnsi="Century"/>
          <w:sz w:val="20"/>
        </w:rPr>
        <w:t xml:space="preserve"> </w:t>
      </w:r>
      <w:r w:rsidR="00AD77D2">
        <w:rPr>
          <w:rFonts w:ascii="Century" w:hAnsi="Century"/>
          <w:sz w:val="20"/>
        </w:rPr>
        <w:t>3 508 898</w:t>
      </w:r>
      <w:r w:rsidRPr="00AD77D2">
        <w:rPr>
          <w:rFonts w:ascii="Century" w:hAnsi="Century"/>
          <w:sz w:val="20"/>
        </w:rPr>
        <w:t>,00 zł;</w:t>
      </w:r>
    </w:p>
    <w:p w14:paraId="02CB9644" w14:textId="0BA9DF3D" w:rsidR="007E56D3" w:rsidRPr="00214F7F" w:rsidRDefault="007E56D3" w:rsidP="00214F7F">
      <w:pPr>
        <w:pStyle w:val="Akapitzlist"/>
        <w:widowControl w:val="0"/>
        <w:numPr>
          <w:ilvl w:val="0"/>
          <w:numId w:val="17"/>
        </w:numPr>
        <w:autoSpaceDE w:val="0"/>
        <w:autoSpaceDN w:val="0"/>
        <w:adjustRightInd w:val="0"/>
        <w:spacing w:after="160" w:line="360" w:lineRule="auto"/>
        <w:jc w:val="both"/>
        <w:rPr>
          <w:rFonts w:ascii="Century" w:hAnsi="Century" w:cs="Calibri"/>
          <w:sz w:val="20"/>
        </w:rPr>
      </w:pPr>
      <w:r w:rsidRPr="00214F7F">
        <w:rPr>
          <w:rFonts w:ascii="Century" w:hAnsi="Century"/>
          <w:sz w:val="20"/>
        </w:rPr>
        <w:t>nadwyżki budżetowej z lat ubiegłych</w:t>
      </w:r>
      <w:r w:rsidR="00214F7F" w:rsidRPr="00214F7F">
        <w:rPr>
          <w:rFonts w:ascii="Century" w:hAnsi="Century"/>
          <w:sz w:val="20"/>
        </w:rPr>
        <w:t xml:space="preserve">, stanowiącej </w:t>
      </w:r>
      <w:r w:rsidR="00214F7F" w:rsidRPr="00214F7F">
        <w:rPr>
          <w:rFonts w:ascii="Century" w:hAnsi="Century"/>
          <w:bCs/>
          <w:sz w:val="20"/>
          <w:szCs w:val="20"/>
        </w:rPr>
        <w:t xml:space="preserve">przychody z niewykorzystanych środków pieniężnych na rachunku bieżącym budżetu, wynikających z rozliczenia dochodów i wydatków nimi finansowanych związanych ze szczególnymi zasadami wykonywania budżetu określonymi w odrębnych ustawach </w:t>
      </w:r>
      <w:r w:rsidR="00214F7F">
        <w:rPr>
          <w:rFonts w:ascii="Century" w:hAnsi="Century"/>
          <w:bCs/>
          <w:sz w:val="20"/>
          <w:szCs w:val="20"/>
        </w:rPr>
        <w:t xml:space="preserve">oraz </w:t>
      </w:r>
      <w:r w:rsidR="00214F7F" w:rsidRPr="00214F7F">
        <w:rPr>
          <w:rFonts w:ascii="Century" w:hAnsi="Century"/>
          <w:bCs/>
          <w:sz w:val="20"/>
          <w:szCs w:val="20"/>
        </w:rPr>
        <w:t>przychod</w:t>
      </w:r>
      <w:r w:rsidR="00214F7F">
        <w:rPr>
          <w:rFonts w:ascii="Century" w:hAnsi="Century"/>
          <w:bCs/>
          <w:sz w:val="20"/>
          <w:szCs w:val="20"/>
        </w:rPr>
        <w:t xml:space="preserve">y </w:t>
      </w:r>
      <w:r w:rsidR="00214F7F" w:rsidRPr="00214F7F">
        <w:rPr>
          <w:rFonts w:ascii="Century" w:hAnsi="Century"/>
          <w:bCs/>
          <w:sz w:val="20"/>
          <w:szCs w:val="20"/>
        </w:rPr>
        <w:t>wynikając</w:t>
      </w:r>
      <w:r w:rsidR="00214F7F">
        <w:rPr>
          <w:rFonts w:ascii="Century" w:hAnsi="Century"/>
          <w:bCs/>
          <w:sz w:val="20"/>
          <w:szCs w:val="20"/>
        </w:rPr>
        <w:t>e</w:t>
      </w:r>
      <w:r w:rsidR="00214F7F" w:rsidRPr="00214F7F">
        <w:rPr>
          <w:rFonts w:ascii="Century" w:hAnsi="Century"/>
          <w:bCs/>
          <w:sz w:val="20"/>
          <w:szCs w:val="20"/>
        </w:rPr>
        <w:t xml:space="preserve"> z rozliczenia środków określonych w art. 5 ust. 1 pkt 2 ustawy i dotacji na realizację programu, projektu lub zadania finansowanego z udziałem tych środków</w:t>
      </w:r>
      <w:r w:rsidRPr="00214F7F">
        <w:rPr>
          <w:rFonts w:ascii="Century" w:hAnsi="Century"/>
          <w:sz w:val="20"/>
        </w:rPr>
        <w:t xml:space="preserve"> </w:t>
      </w:r>
      <w:r w:rsidR="00186D65">
        <w:rPr>
          <w:rFonts w:ascii="Century" w:hAnsi="Century"/>
          <w:sz w:val="20"/>
        </w:rPr>
        <w:t>-</w:t>
      </w:r>
      <w:r w:rsidRPr="00214F7F">
        <w:rPr>
          <w:rFonts w:ascii="Century" w:hAnsi="Century"/>
          <w:sz w:val="20"/>
        </w:rPr>
        <w:t xml:space="preserve"> 1</w:t>
      </w:r>
      <w:r w:rsidR="00AD77D2" w:rsidRPr="00214F7F">
        <w:rPr>
          <w:rFonts w:ascii="Century" w:hAnsi="Century"/>
          <w:sz w:val="20"/>
        </w:rPr>
        <w:t> 025 415</w:t>
      </w:r>
      <w:r w:rsidRPr="00214F7F">
        <w:rPr>
          <w:rFonts w:ascii="Century" w:hAnsi="Century"/>
          <w:sz w:val="20"/>
        </w:rPr>
        <w:t>,00 zł</w:t>
      </w:r>
      <w:r w:rsidR="00214F7F">
        <w:rPr>
          <w:rFonts w:ascii="Century" w:hAnsi="Century"/>
          <w:sz w:val="20"/>
        </w:rPr>
        <w:t>;</w:t>
      </w:r>
    </w:p>
    <w:p w14:paraId="57505415" w14:textId="26264CAD" w:rsidR="007E56D3" w:rsidRPr="00AD77D2" w:rsidRDefault="007E56D3" w:rsidP="00AD77D2">
      <w:pPr>
        <w:pStyle w:val="Akapitzlist"/>
        <w:widowControl w:val="0"/>
        <w:numPr>
          <w:ilvl w:val="0"/>
          <w:numId w:val="17"/>
        </w:numPr>
        <w:autoSpaceDE w:val="0"/>
        <w:autoSpaceDN w:val="0"/>
        <w:adjustRightInd w:val="0"/>
        <w:spacing w:after="160" w:line="360" w:lineRule="auto"/>
        <w:jc w:val="both"/>
        <w:rPr>
          <w:rFonts w:ascii="Century" w:hAnsi="Century" w:cs="Calibri"/>
          <w:sz w:val="20"/>
        </w:rPr>
      </w:pPr>
      <w:r w:rsidRPr="00AD77D2">
        <w:rPr>
          <w:rFonts w:ascii="Century" w:hAnsi="Century"/>
          <w:sz w:val="20"/>
        </w:rPr>
        <w:t xml:space="preserve">wolnych środków pozostających z rozliczenia budżetu na koniec 2021 r. i niezaangażowanych w budżecie na 2022 r. </w:t>
      </w:r>
      <w:r w:rsidR="00186D65">
        <w:rPr>
          <w:rFonts w:ascii="Century" w:hAnsi="Century"/>
          <w:sz w:val="20"/>
        </w:rPr>
        <w:t>-</w:t>
      </w:r>
      <w:r w:rsidRPr="00AD77D2">
        <w:rPr>
          <w:rFonts w:ascii="Century" w:hAnsi="Century"/>
          <w:sz w:val="20"/>
        </w:rPr>
        <w:t xml:space="preserve"> </w:t>
      </w:r>
      <w:r w:rsidR="00AD77D2">
        <w:rPr>
          <w:rFonts w:ascii="Century" w:hAnsi="Century"/>
          <w:sz w:val="20"/>
        </w:rPr>
        <w:t>1 308 810</w:t>
      </w:r>
      <w:r w:rsidRPr="00AD77D2">
        <w:rPr>
          <w:rFonts w:ascii="Century" w:hAnsi="Century"/>
          <w:sz w:val="20"/>
        </w:rPr>
        <w:t>,00 zł;</w:t>
      </w:r>
    </w:p>
    <w:p w14:paraId="3FB68CB7" w14:textId="0748CF86" w:rsidR="007E56D3" w:rsidRDefault="007E56D3" w:rsidP="00AD77D2">
      <w:pPr>
        <w:spacing w:line="360" w:lineRule="auto"/>
        <w:jc w:val="both"/>
        <w:rPr>
          <w:rFonts w:ascii="Century" w:hAnsi="Century"/>
          <w:sz w:val="20"/>
        </w:rPr>
      </w:pPr>
      <w:r w:rsidRPr="00AD77D2">
        <w:rPr>
          <w:rFonts w:ascii="Century" w:hAnsi="Century"/>
          <w:sz w:val="20"/>
        </w:rPr>
        <w:t>Fakt prognozowania w oparciu o dane makroekonomiczne o niewielkiej zmienności powoduje zrównoważony i stabilny wzrost dochodów oraz wydatków bieżących, któremu można przypisać cechy statystyczne.</w:t>
      </w:r>
    </w:p>
    <w:p w14:paraId="0F4E099F" w14:textId="54B6BB9D" w:rsidR="00C6628D" w:rsidRPr="00C6628D" w:rsidRDefault="00F058E3" w:rsidP="00C662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Pr>
          <w:rFonts w:ascii="Century" w:hAnsi="Century" w:cs="Century"/>
          <w:sz w:val="20"/>
          <w:szCs w:val="20"/>
          <w:lang w:eastAsia="en-US"/>
        </w:rPr>
        <w:t>W</w:t>
      </w:r>
      <w:r w:rsidRPr="006A6205">
        <w:rPr>
          <w:rFonts w:ascii="Century" w:hAnsi="Century" w:cs="Century"/>
          <w:sz w:val="20"/>
          <w:szCs w:val="20"/>
          <w:lang w:eastAsia="en-US"/>
        </w:rPr>
        <w:t xml:space="preserve"> latach 2024 - 2038 </w:t>
      </w:r>
      <w:r>
        <w:rPr>
          <w:rFonts w:ascii="Century" w:hAnsi="Century" w:cs="Century"/>
          <w:sz w:val="20"/>
          <w:szCs w:val="20"/>
          <w:lang w:eastAsia="en-US"/>
        </w:rPr>
        <w:t>z</w:t>
      </w:r>
      <w:r w:rsidR="00C6628D" w:rsidRPr="006A6205">
        <w:rPr>
          <w:rFonts w:ascii="Century" w:hAnsi="Century" w:cs="Century"/>
          <w:sz w:val="20"/>
          <w:szCs w:val="20"/>
          <w:lang w:eastAsia="en-US"/>
        </w:rPr>
        <w:t>aplanowano kwoty dochodów i wydatków w taki sposób, aby wynik budżetu był nadwyżką budżetową. Kwota nadwyżki w całości przeznaczana będzie na spłatę wcześniej zaciągniętych zobowiązań z tytułu kredytów i pożyczek oraz wykup wyemitowanych papierów wartościowych.</w:t>
      </w:r>
    </w:p>
    <w:p w14:paraId="59411F52" w14:textId="7B17ECD4" w:rsidR="007E56D3" w:rsidRPr="00AD77D2" w:rsidRDefault="007E56D3" w:rsidP="00AD77D2">
      <w:pPr>
        <w:pStyle w:val="TableCaption"/>
        <w:keepNext/>
        <w:spacing w:line="360" w:lineRule="auto"/>
        <w:rPr>
          <w:rFonts w:ascii="Century" w:hAnsi="Century" w:cs="Calibri"/>
          <w:b/>
          <w:bCs w:val="0"/>
          <w:sz w:val="20"/>
          <w:szCs w:val="24"/>
        </w:rPr>
      </w:pPr>
      <w:r w:rsidRPr="00AD77D2">
        <w:rPr>
          <w:rFonts w:ascii="Century" w:hAnsi="Century"/>
          <w:b/>
          <w:bCs w:val="0"/>
          <w:sz w:val="20"/>
          <w:szCs w:val="24"/>
        </w:rPr>
        <w:t xml:space="preserve">Tabela </w:t>
      </w:r>
      <w:r w:rsidR="00AD77D2">
        <w:rPr>
          <w:rFonts w:ascii="Century" w:hAnsi="Century"/>
          <w:b/>
          <w:bCs w:val="0"/>
          <w:sz w:val="20"/>
          <w:szCs w:val="24"/>
        </w:rPr>
        <w:t>1</w:t>
      </w:r>
      <w:r w:rsidRPr="00AD77D2">
        <w:rPr>
          <w:rFonts w:ascii="Century" w:hAnsi="Century"/>
          <w:b/>
          <w:bCs w:val="0"/>
          <w:sz w:val="20"/>
          <w:szCs w:val="24"/>
        </w:rPr>
        <w:t>. Wynik budżetu Gminy Trzciel</w:t>
      </w:r>
    </w:p>
    <w:tbl>
      <w:tblPr>
        <w:tblStyle w:val="Tabela-Prosty1"/>
        <w:tblW w:w="4884" w:type="pct"/>
        <w:tblInd w:w="108" w:type="dxa"/>
        <w:tblCellMar>
          <w:left w:w="108" w:type="dxa"/>
          <w:right w:w="108" w:type="dxa"/>
        </w:tblCellMar>
        <w:tblLook w:val="04A0" w:firstRow="1" w:lastRow="0" w:firstColumn="1" w:lastColumn="0" w:noHBand="0" w:noVBand="1"/>
      </w:tblPr>
      <w:tblGrid>
        <w:gridCol w:w="2183"/>
        <w:gridCol w:w="2292"/>
        <w:gridCol w:w="2292"/>
        <w:gridCol w:w="2292"/>
      </w:tblGrid>
      <w:tr w:rsidR="007E56D3" w:rsidRPr="00AD77D2" w14:paraId="299E7EAA" w14:textId="77777777" w:rsidTr="00F41FBD">
        <w:trPr>
          <w:trHeight w:val="288"/>
        </w:trPr>
        <w:tc>
          <w:tcPr>
            <w:tcW w:w="1205" w:type="pct"/>
            <w:tcMar>
              <w:left w:w="108" w:type="dxa"/>
              <w:right w:w="108" w:type="dxa"/>
            </w:tcMar>
            <w:vAlign w:val="center"/>
          </w:tcPr>
          <w:p w14:paraId="325B7AA3" w14:textId="77777777" w:rsidR="007E56D3" w:rsidRPr="00AD77D2" w:rsidRDefault="007E56D3" w:rsidP="00AD77D2">
            <w:pPr>
              <w:pStyle w:val="TableHeading"/>
              <w:spacing w:line="276" w:lineRule="auto"/>
              <w:jc w:val="center"/>
              <w:rPr>
                <w:rFonts w:ascii="Century" w:hAnsi="Century" w:cs="Calibri"/>
                <w:b/>
                <w:bCs w:val="0"/>
                <w:sz w:val="20"/>
                <w:szCs w:val="24"/>
              </w:rPr>
            </w:pPr>
            <w:r w:rsidRPr="00AD77D2">
              <w:rPr>
                <w:rFonts w:ascii="Century" w:hAnsi="Century"/>
                <w:b/>
                <w:bCs w:val="0"/>
                <w:sz w:val="20"/>
                <w:szCs w:val="24"/>
              </w:rPr>
              <w:t>Rok</w:t>
            </w:r>
          </w:p>
        </w:tc>
        <w:tc>
          <w:tcPr>
            <w:tcW w:w="1265" w:type="pct"/>
            <w:tcMar>
              <w:left w:w="108" w:type="dxa"/>
              <w:right w:w="108" w:type="dxa"/>
            </w:tcMar>
            <w:vAlign w:val="center"/>
          </w:tcPr>
          <w:p w14:paraId="7A7C7DA0" w14:textId="77777777" w:rsidR="007E56D3" w:rsidRPr="00AD77D2" w:rsidRDefault="007E56D3" w:rsidP="00AD77D2">
            <w:pPr>
              <w:pStyle w:val="TableHeading"/>
              <w:spacing w:line="276" w:lineRule="auto"/>
              <w:jc w:val="center"/>
              <w:rPr>
                <w:rFonts w:ascii="Century" w:hAnsi="Century" w:cs="Calibri"/>
                <w:b/>
                <w:bCs w:val="0"/>
                <w:sz w:val="20"/>
                <w:szCs w:val="24"/>
              </w:rPr>
            </w:pPr>
            <w:r w:rsidRPr="00AD77D2">
              <w:rPr>
                <w:rFonts w:ascii="Century" w:hAnsi="Century"/>
                <w:b/>
                <w:bCs w:val="0"/>
                <w:sz w:val="20"/>
                <w:szCs w:val="24"/>
              </w:rPr>
              <w:t>Dochody [zł]</w:t>
            </w:r>
          </w:p>
        </w:tc>
        <w:tc>
          <w:tcPr>
            <w:tcW w:w="1265" w:type="pct"/>
            <w:tcMar>
              <w:left w:w="108" w:type="dxa"/>
              <w:right w:w="108" w:type="dxa"/>
            </w:tcMar>
            <w:vAlign w:val="center"/>
          </w:tcPr>
          <w:p w14:paraId="14EC6F18" w14:textId="77777777" w:rsidR="007E56D3" w:rsidRPr="00AD77D2" w:rsidRDefault="007E56D3" w:rsidP="00AD77D2">
            <w:pPr>
              <w:pStyle w:val="TableHeading"/>
              <w:spacing w:line="276" w:lineRule="auto"/>
              <w:jc w:val="center"/>
              <w:rPr>
                <w:rFonts w:ascii="Century" w:hAnsi="Century" w:cs="Calibri"/>
                <w:b/>
                <w:bCs w:val="0"/>
                <w:sz w:val="20"/>
                <w:szCs w:val="24"/>
              </w:rPr>
            </w:pPr>
            <w:r w:rsidRPr="00AD77D2">
              <w:rPr>
                <w:rFonts w:ascii="Century" w:hAnsi="Century"/>
                <w:b/>
                <w:bCs w:val="0"/>
                <w:sz w:val="20"/>
                <w:szCs w:val="24"/>
              </w:rPr>
              <w:t>Wydatki [zł]</w:t>
            </w:r>
          </w:p>
        </w:tc>
        <w:tc>
          <w:tcPr>
            <w:tcW w:w="1265" w:type="pct"/>
            <w:tcMar>
              <w:left w:w="108" w:type="dxa"/>
              <w:right w:w="108" w:type="dxa"/>
            </w:tcMar>
            <w:vAlign w:val="center"/>
          </w:tcPr>
          <w:p w14:paraId="4D6EAAE2" w14:textId="77777777" w:rsidR="007E56D3" w:rsidRPr="00AD77D2" w:rsidRDefault="007E56D3" w:rsidP="00AD77D2">
            <w:pPr>
              <w:pStyle w:val="TableHeading"/>
              <w:spacing w:line="276" w:lineRule="auto"/>
              <w:jc w:val="center"/>
              <w:rPr>
                <w:rFonts w:ascii="Century" w:hAnsi="Century" w:cs="Calibri"/>
                <w:b/>
                <w:bCs w:val="0"/>
                <w:sz w:val="20"/>
                <w:szCs w:val="24"/>
              </w:rPr>
            </w:pPr>
            <w:r w:rsidRPr="00AD77D2">
              <w:rPr>
                <w:rFonts w:ascii="Century" w:hAnsi="Century"/>
                <w:b/>
                <w:bCs w:val="0"/>
                <w:sz w:val="20"/>
                <w:szCs w:val="24"/>
              </w:rPr>
              <w:t>Wynik budżetu [zł]</w:t>
            </w:r>
          </w:p>
        </w:tc>
      </w:tr>
      <w:tr w:rsidR="007E56D3" w:rsidRPr="00AD77D2" w14:paraId="2A984C3A" w14:textId="77777777" w:rsidTr="00F41FBD">
        <w:trPr>
          <w:trHeight w:val="288"/>
        </w:trPr>
        <w:tc>
          <w:tcPr>
            <w:tcW w:w="1205" w:type="pct"/>
            <w:tcMar>
              <w:left w:w="108" w:type="dxa"/>
              <w:right w:w="108" w:type="dxa"/>
            </w:tcMar>
          </w:tcPr>
          <w:p w14:paraId="406DFC13"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2023</w:t>
            </w:r>
          </w:p>
        </w:tc>
        <w:tc>
          <w:tcPr>
            <w:tcW w:w="1265" w:type="pct"/>
            <w:tcMar>
              <w:left w:w="108" w:type="dxa"/>
              <w:right w:w="108" w:type="dxa"/>
            </w:tcMar>
          </w:tcPr>
          <w:p w14:paraId="566C4735"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47 534 274,25</w:t>
            </w:r>
          </w:p>
        </w:tc>
        <w:tc>
          <w:tcPr>
            <w:tcW w:w="1265" w:type="pct"/>
            <w:tcMar>
              <w:left w:w="108" w:type="dxa"/>
              <w:right w:w="108" w:type="dxa"/>
            </w:tcMar>
          </w:tcPr>
          <w:p w14:paraId="12F4A216"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53 377 397,25</w:t>
            </w:r>
          </w:p>
        </w:tc>
        <w:tc>
          <w:tcPr>
            <w:tcW w:w="1265" w:type="pct"/>
            <w:tcMar>
              <w:left w:w="108" w:type="dxa"/>
              <w:right w:w="108" w:type="dxa"/>
            </w:tcMar>
          </w:tcPr>
          <w:p w14:paraId="4DFAD3B3"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-5 843 123,00</w:t>
            </w:r>
          </w:p>
        </w:tc>
      </w:tr>
      <w:tr w:rsidR="007E56D3" w:rsidRPr="00AD77D2" w14:paraId="301DF913" w14:textId="77777777" w:rsidTr="00F41FBD">
        <w:trPr>
          <w:trHeight w:val="288"/>
        </w:trPr>
        <w:tc>
          <w:tcPr>
            <w:tcW w:w="1205" w:type="pct"/>
            <w:tcMar>
              <w:left w:w="108" w:type="dxa"/>
              <w:right w:w="108" w:type="dxa"/>
            </w:tcMar>
          </w:tcPr>
          <w:p w14:paraId="2FB10A83"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2024</w:t>
            </w:r>
          </w:p>
        </w:tc>
        <w:tc>
          <w:tcPr>
            <w:tcW w:w="1265" w:type="pct"/>
            <w:tcMar>
              <w:left w:w="108" w:type="dxa"/>
              <w:right w:w="108" w:type="dxa"/>
            </w:tcMar>
          </w:tcPr>
          <w:p w14:paraId="35ED1B55"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36 146 568,00</w:t>
            </w:r>
          </w:p>
        </w:tc>
        <w:tc>
          <w:tcPr>
            <w:tcW w:w="1265" w:type="pct"/>
            <w:tcMar>
              <w:left w:w="108" w:type="dxa"/>
              <w:right w:w="108" w:type="dxa"/>
            </w:tcMar>
          </w:tcPr>
          <w:p w14:paraId="643E5A41"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35 059 676,00</w:t>
            </w:r>
          </w:p>
        </w:tc>
        <w:tc>
          <w:tcPr>
            <w:tcW w:w="1265" w:type="pct"/>
            <w:tcMar>
              <w:left w:w="108" w:type="dxa"/>
              <w:right w:w="108" w:type="dxa"/>
            </w:tcMar>
          </w:tcPr>
          <w:p w14:paraId="4719494D"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1 086 892,00</w:t>
            </w:r>
          </w:p>
        </w:tc>
      </w:tr>
      <w:tr w:rsidR="007E56D3" w:rsidRPr="00AD77D2" w14:paraId="4C16D423" w14:textId="77777777" w:rsidTr="00F41FBD">
        <w:trPr>
          <w:trHeight w:val="288"/>
        </w:trPr>
        <w:tc>
          <w:tcPr>
            <w:tcW w:w="1205" w:type="pct"/>
            <w:tcMar>
              <w:left w:w="108" w:type="dxa"/>
              <w:right w:w="108" w:type="dxa"/>
            </w:tcMar>
          </w:tcPr>
          <w:p w14:paraId="08E9092D"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2025</w:t>
            </w:r>
          </w:p>
        </w:tc>
        <w:tc>
          <w:tcPr>
            <w:tcW w:w="1265" w:type="pct"/>
            <w:tcMar>
              <w:left w:w="108" w:type="dxa"/>
              <w:right w:w="108" w:type="dxa"/>
            </w:tcMar>
          </w:tcPr>
          <w:p w14:paraId="6F11AA75"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32 843 149,00</w:t>
            </w:r>
          </w:p>
        </w:tc>
        <w:tc>
          <w:tcPr>
            <w:tcW w:w="1265" w:type="pct"/>
            <w:tcMar>
              <w:left w:w="108" w:type="dxa"/>
              <w:right w:w="108" w:type="dxa"/>
            </w:tcMar>
          </w:tcPr>
          <w:p w14:paraId="13C543AA"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31 683 149,00</w:t>
            </w:r>
          </w:p>
        </w:tc>
        <w:tc>
          <w:tcPr>
            <w:tcW w:w="1265" w:type="pct"/>
            <w:tcMar>
              <w:left w:w="108" w:type="dxa"/>
              <w:right w:w="108" w:type="dxa"/>
            </w:tcMar>
          </w:tcPr>
          <w:p w14:paraId="11C19FA9"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1 160 000,00</w:t>
            </w:r>
          </w:p>
        </w:tc>
      </w:tr>
      <w:tr w:rsidR="007E56D3" w:rsidRPr="00AD77D2" w14:paraId="1E006AA3" w14:textId="77777777" w:rsidTr="00F41FBD">
        <w:trPr>
          <w:trHeight w:val="288"/>
        </w:trPr>
        <w:tc>
          <w:tcPr>
            <w:tcW w:w="1205" w:type="pct"/>
            <w:tcMar>
              <w:left w:w="108" w:type="dxa"/>
              <w:right w:w="108" w:type="dxa"/>
            </w:tcMar>
          </w:tcPr>
          <w:p w14:paraId="22D50FF8"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2026</w:t>
            </w:r>
          </w:p>
        </w:tc>
        <w:tc>
          <w:tcPr>
            <w:tcW w:w="1265" w:type="pct"/>
            <w:tcMar>
              <w:left w:w="108" w:type="dxa"/>
              <w:right w:w="108" w:type="dxa"/>
            </w:tcMar>
          </w:tcPr>
          <w:p w14:paraId="62D25AFC"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32 581 477,00</w:t>
            </w:r>
          </w:p>
        </w:tc>
        <w:tc>
          <w:tcPr>
            <w:tcW w:w="1265" w:type="pct"/>
            <w:tcMar>
              <w:left w:w="108" w:type="dxa"/>
              <w:right w:w="108" w:type="dxa"/>
            </w:tcMar>
          </w:tcPr>
          <w:p w14:paraId="3AF950BC"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31 321 477,00</w:t>
            </w:r>
          </w:p>
        </w:tc>
        <w:tc>
          <w:tcPr>
            <w:tcW w:w="1265" w:type="pct"/>
            <w:tcMar>
              <w:left w:w="108" w:type="dxa"/>
              <w:right w:w="108" w:type="dxa"/>
            </w:tcMar>
          </w:tcPr>
          <w:p w14:paraId="099B1850"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1 260 000,00</w:t>
            </w:r>
          </w:p>
        </w:tc>
      </w:tr>
      <w:tr w:rsidR="007E56D3" w:rsidRPr="00AD77D2" w14:paraId="737D6624" w14:textId="77777777" w:rsidTr="00F41FBD">
        <w:trPr>
          <w:trHeight w:val="304"/>
        </w:trPr>
        <w:tc>
          <w:tcPr>
            <w:tcW w:w="1205" w:type="pct"/>
            <w:tcMar>
              <w:left w:w="108" w:type="dxa"/>
              <w:right w:w="108" w:type="dxa"/>
            </w:tcMar>
          </w:tcPr>
          <w:p w14:paraId="1107C430"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2027</w:t>
            </w:r>
          </w:p>
        </w:tc>
        <w:tc>
          <w:tcPr>
            <w:tcW w:w="1265" w:type="pct"/>
            <w:tcMar>
              <w:left w:w="108" w:type="dxa"/>
              <w:right w:w="108" w:type="dxa"/>
            </w:tcMar>
          </w:tcPr>
          <w:p w14:paraId="71FE1829"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33 349 014,00</w:t>
            </w:r>
          </w:p>
        </w:tc>
        <w:tc>
          <w:tcPr>
            <w:tcW w:w="1265" w:type="pct"/>
            <w:tcMar>
              <w:left w:w="108" w:type="dxa"/>
              <w:right w:w="108" w:type="dxa"/>
            </w:tcMar>
          </w:tcPr>
          <w:p w14:paraId="3BF1DBF9"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32 039 014,00</w:t>
            </w:r>
          </w:p>
        </w:tc>
        <w:tc>
          <w:tcPr>
            <w:tcW w:w="1265" w:type="pct"/>
            <w:tcMar>
              <w:left w:w="108" w:type="dxa"/>
              <w:right w:w="108" w:type="dxa"/>
            </w:tcMar>
          </w:tcPr>
          <w:p w14:paraId="4890BBB2"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1 310 000,00</w:t>
            </w:r>
          </w:p>
        </w:tc>
      </w:tr>
      <w:tr w:rsidR="007E56D3" w:rsidRPr="00AD77D2" w14:paraId="12E335D1" w14:textId="77777777" w:rsidTr="00F41FBD">
        <w:trPr>
          <w:trHeight w:val="288"/>
        </w:trPr>
        <w:tc>
          <w:tcPr>
            <w:tcW w:w="1205" w:type="pct"/>
            <w:tcMar>
              <w:left w:w="108" w:type="dxa"/>
              <w:right w:w="108" w:type="dxa"/>
            </w:tcMar>
          </w:tcPr>
          <w:p w14:paraId="2CC4620C"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2028</w:t>
            </w:r>
          </w:p>
        </w:tc>
        <w:tc>
          <w:tcPr>
            <w:tcW w:w="1265" w:type="pct"/>
            <w:tcMar>
              <w:left w:w="108" w:type="dxa"/>
              <w:right w:w="108" w:type="dxa"/>
            </w:tcMar>
          </w:tcPr>
          <w:p w14:paraId="04F240A7"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34 156 238,00</w:t>
            </w:r>
          </w:p>
        </w:tc>
        <w:tc>
          <w:tcPr>
            <w:tcW w:w="1265" w:type="pct"/>
            <w:tcMar>
              <w:left w:w="108" w:type="dxa"/>
              <w:right w:w="108" w:type="dxa"/>
            </w:tcMar>
          </w:tcPr>
          <w:p w14:paraId="5CA6F56C"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32 796 238,00</w:t>
            </w:r>
          </w:p>
        </w:tc>
        <w:tc>
          <w:tcPr>
            <w:tcW w:w="1265" w:type="pct"/>
            <w:tcMar>
              <w:left w:w="108" w:type="dxa"/>
              <w:right w:w="108" w:type="dxa"/>
            </w:tcMar>
          </w:tcPr>
          <w:p w14:paraId="0C221744"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1 360 000,00</w:t>
            </w:r>
          </w:p>
        </w:tc>
      </w:tr>
      <w:tr w:rsidR="007E56D3" w:rsidRPr="00AD77D2" w14:paraId="01788F4A" w14:textId="77777777" w:rsidTr="00F41FBD">
        <w:trPr>
          <w:trHeight w:val="288"/>
        </w:trPr>
        <w:tc>
          <w:tcPr>
            <w:tcW w:w="1205" w:type="pct"/>
            <w:tcMar>
              <w:left w:w="108" w:type="dxa"/>
              <w:right w:w="108" w:type="dxa"/>
            </w:tcMar>
          </w:tcPr>
          <w:p w14:paraId="3194498D"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2029</w:t>
            </w:r>
          </w:p>
        </w:tc>
        <w:tc>
          <w:tcPr>
            <w:tcW w:w="1265" w:type="pct"/>
            <w:tcMar>
              <w:left w:w="108" w:type="dxa"/>
              <w:right w:w="108" w:type="dxa"/>
            </w:tcMar>
          </w:tcPr>
          <w:p w14:paraId="20D669A9"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34 983 645,00</w:t>
            </w:r>
          </w:p>
        </w:tc>
        <w:tc>
          <w:tcPr>
            <w:tcW w:w="1265" w:type="pct"/>
            <w:tcMar>
              <w:left w:w="108" w:type="dxa"/>
              <w:right w:w="108" w:type="dxa"/>
            </w:tcMar>
          </w:tcPr>
          <w:p w14:paraId="5CA03E27"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33 723 645,00</w:t>
            </w:r>
          </w:p>
        </w:tc>
        <w:tc>
          <w:tcPr>
            <w:tcW w:w="1265" w:type="pct"/>
            <w:tcMar>
              <w:left w:w="108" w:type="dxa"/>
              <w:right w:w="108" w:type="dxa"/>
            </w:tcMar>
          </w:tcPr>
          <w:p w14:paraId="0A7D3C22"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1 260 000,00</w:t>
            </w:r>
          </w:p>
        </w:tc>
      </w:tr>
      <w:tr w:rsidR="007E56D3" w:rsidRPr="00AD77D2" w14:paraId="31457738" w14:textId="77777777" w:rsidTr="00F41FBD">
        <w:trPr>
          <w:trHeight w:val="288"/>
        </w:trPr>
        <w:tc>
          <w:tcPr>
            <w:tcW w:w="1205" w:type="pct"/>
            <w:tcMar>
              <w:left w:w="108" w:type="dxa"/>
              <w:right w:w="108" w:type="dxa"/>
            </w:tcMar>
          </w:tcPr>
          <w:p w14:paraId="091DC06F"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2030</w:t>
            </w:r>
          </w:p>
        </w:tc>
        <w:tc>
          <w:tcPr>
            <w:tcW w:w="1265" w:type="pct"/>
            <w:tcMar>
              <w:left w:w="108" w:type="dxa"/>
              <w:right w:w="108" w:type="dxa"/>
            </w:tcMar>
          </w:tcPr>
          <w:p w14:paraId="556C1ECB"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35 831 736,00</w:t>
            </w:r>
          </w:p>
        </w:tc>
        <w:tc>
          <w:tcPr>
            <w:tcW w:w="1265" w:type="pct"/>
            <w:tcMar>
              <w:left w:w="108" w:type="dxa"/>
              <w:right w:w="108" w:type="dxa"/>
            </w:tcMar>
          </w:tcPr>
          <w:p w14:paraId="2FE62721"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34 531 736,00</w:t>
            </w:r>
          </w:p>
        </w:tc>
        <w:tc>
          <w:tcPr>
            <w:tcW w:w="1265" w:type="pct"/>
            <w:tcMar>
              <w:left w:w="108" w:type="dxa"/>
              <w:right w:w="108" w:type="dxa"/>
            </w:tcMar>
          </w:tcPr>
          <w:p w14:paraId="2B77E2D3"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1 300 000,00</w:t>
            </w:r>
          </w:p>
        </w:tc>
      </w:tr>
      <w:tr w:rsidR="007E56D3" w:rsidRPr="00AD77D2" w14:paraId="3095F9B6" w14:textId="77777777" w:rsidTr="00F41FBD">
        <w:trPr>
          <w:trHeight w:val="288"/>
        </w:trPr>
        <w:tc>
          <w:tcPr>
            <w:tcW w:w="1205" w:type="pct"/>
            <w:tcMar>
              <w:left w:w="108" w:type="dxa"/>
              <w:right w:w="108" w:type="dxa"/>
            </w:tcMar>
          </w:tcPr>
          <w:p w14:paraId="50FB6C85"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2031</w:t>
            </w:r>
          </w:p>
        </w:tc>
        <w:tc>
          <w:tcPr>
            <w:tcW w:w="1265" w:type="pct"/>
            <w:tcMar>
              <w:left w:w="108" w:type="dxa"/>
              <w:right w:w="108" w:type="dxa"/>
            </w:tcMar>
          </w:tcPr>
          <w:p w14:paraId="587F079A"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36 701 028,00</w:t>
            </w:r>
          </w:p>
        </w:tc>
        <w:tc>
          <w:tcPr>
            <w:tcW w:w="1265" w:type="pct"/>
            <w:tcMar>
              <w:left w:w="108" w:type="dxa"/>
              <w:right w:w="108" w:type="dxa"/>
            </w:tcMar>
          </w:tcPr>
          <w:p w14:paraId="1C537E42"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35 101 028,00</w:t>
            </w:r>
          </w:p>
        </w:tc>
        <w:tc>
          <w:tcPr>
            <w:tcW w:w="1265" w:type="pct"/>
            <w:tcMar>
              <w:left w:w="108" w:type="dxa"/>
              <w:right w:w="108" w:type="dxa"/>
            </w:tcMar>
          </w:tcPr>
          <w:p w14:paraId="4A1F5F40"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1 600 000,00</w:t>
            </w:r>
          </w:p>
        </w:tc>
      </w:tr>
      <w:tr w:rsidR="007E56D3" w:rsidRPr="00AD77D2" w14:paraId="6C076C47" w14:textId="77777777" w:rsidTr="00F41FBD">
        <w:trPr>
          <w:trHeight w:val="288"/>
        </w:trPr>
        <w:tc>
          <w:tcPr>
            <w:tcW w:w="1205" w:type="pct"/>
            <w:tcMar>
              <w:left w:w="108" w:type="dxa"/>
              <w:right w:w="108" w:type="dxa"/>
            </w:tcMar>
          </w:tcPr>
          <w:p w14:paraId="04997E55"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2032</w:t>
            </w:r>
          </w:p>
        </w:tc>
        <w:tc>
          <w:tcPr>
            <w:tcW w:w="1265" w:type="pct"/>
            <w:tcMar>
              <w:left w:w="108" w:type="dxa"/>
              <w:right w:w="108" w:type="dxa"/>
            </w:tcMar>
          </w:tcPr>
          <w:p w14:paraId="0F9033BC"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37 592 054,00</w:t>
            </w:r>
          </w:p>
        </w:tc>
        <w:tc>
          <w:tcPr>
            <w:tcW w:w="1265" w:type="pct"/>
            <w:tcMar>
              <w:left w:w="108" w:type="dxa"/>
              <w:right w:w="108" w:type="dxa"/>
            </w:tcMar>
          </w:tcPr>
          <w:p w14:paraId="2A1D7742"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36 992 054,00</w:t>
            </w:r>
          </w:p>
        </w:tc>
        <w:tc>
          <w:tcPr>
            <w:tcW w:w="1265" w:type="pct"/>
            <w:tcMar>
              <w:left w:w="108" w:type="dxa"/>
              <w:right w:w="108" w:type="dxa"/>
            </w:tcMar>
          </w:tcPr>
          <w:p w14:paraId="4774EF26"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600 000,00</w:t>
            </w:r>
          </w:p>
        </w:tc>
      </w:tr>
      <w:tr w:rsidR="007E56D3" w:rsidRPr="00AD77D2" w14:paraId="69CFBA9F" w14:textId="77777777" w:rsidTr="00F41FBD">
        <w:trPr>
          <w:trHeight w:val="288"/>
        </w:trPr>
        <w:tc>
          <w:tcPr>
            <w:tcW w:w="1205" w:type="pct"/>
            <w:tcMar>
              <w:left w:w="108" w:type="dxa"/>
              <w:right w:w="108" w:type="dxa"/>
            </w:tcMar>
          </w:tcPr>
          <w:p w14:paraId="73D1DA13"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2033</w:t>
            </w:r>
          </w:p>
        </w:tc>
        <w:tc>
          <w:tcPr>
            <w:tcW w:w="1265" w:type="pct"/>
            <w:tcMar>
              <w:left w:w="108" w:type="dxa"/>
              <w:right w:w="108" w:type="dxa"/>
            </w:tcMar>
          </w:tcPr>
          <w:p w14:paraId="54A7F586"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38 505 355,00</w:t>
            </w:r>
          </w:p>
        </w:tc>
        <w:tc>
          <w:tcPr>
            <w:tcW w:w="1265" w:type="pct"/>
            <w:tcMar>
              <w:left w:w="108" w:type="dxa"/>
              <w:right w:w="108" w:type="dxa"/>
            </w:tcMar>
          </w:tcPr>
          <w:p w14:paraId="4A8301CD"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37 905 355,00</w:t>
            </w:r>
          </w:p>
        </w:tc>
        <w:tc>
          <w:tcPr>
            <w:tcW w:w="1265" w:type="pct"/>
            <w:tcMar>
              <w:left w:w="108" w:type="dxa"/>
              <w:right w:w="108" w:type="dxa"/>
            </w:tcMar>
          </w:tcPr>
          <w:p w14:paraId="1EE8F36F"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600 000,00</w:t>
            </w:r>
          </w:p>
        </w:tc>
      </w:tr>
      <w:tr w:rsidR="007E56D3" w:rsidRPr="00AD77D2" w14:paraId="7908AF8D" w14:textId="77777777" w:rsidTr="00F41FBD">
        <w:trPr>
          <w:trHeight w:val="288"/>
        </w:trPr>
        <w:tc>
          <w:tcPr>
            <w:tcW w:w="1205" w:type="pct"/>
            <w:tcMar>
              <w:left w:w="108" w:type="dxa"/>
              <w:right w:w="108" w:type="dxa"/>
            </w:tcMar>
          </w:tcPr>
          <w:p w14:paraId="613742AC"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2034</w:t>
            </w:r>
          </w:p>
        </w:tc>
        <w:tc>
          <w:tcPr>
            <w:tcW w:w="1265" w:type="pct"/>
            <w:tcMar>
              <w:left w:w="108" w:type="dxa"/>
              <w:right w:w="108" w:type="dxa"/>
            </w:tcMar>
          </w:tcPr>
          <w:p w14:paraId="2005A351"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39 441 490,00</w:t>
            </w:r>
          </w:p>
        </w:tc>
        <w:tc>
          <w:tcPr>
            <w:tcW w:w="1265" w:type="pct"/>
            <w:tcMar>
              <w:left w:w="108" w:type="dxa"/>
              <w:right w:w="108" w:type="dxa"/>
            </w:tcMar>
          </w:tcPr>
          <w:p w14:paraId="1357244F"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38 841 490,00</w:t>
            </w:r>
          </w:p>
        </w:tc>
        <w:tc>
          <w:tcPr>
            <w:tcW w:w="1265" w:type="pct"/>
            <w:tcMar>
              <w:left w:w="108" w:type="dxa"/>
              <w:right w:w="108" w:type="dxa"/>
            </w:tcMar>
          </w:tcPr>
          <w:p w14:paraId="1118A1ED"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600 000,00</w:t>
            </w:r>
          </w:p>
        </w:tc>
      </w:tr>
      <w:tr w:rsidR="007E56D3" w:rsidRPr="00AD77D2" w14:paraId="6E79E290" w14:textId="77777777" w:rsidTr="00F41FBD">
        <w:trPr>
          <w:trHeight w:val="288"/>
        </w:trPr>
        <w:tc>
          <w:tcPr>
            <w:tcW w:w="1205" w:type="pct"/>
            <w:tcMar>
              <w:left w:w="108" w:type="dxa"/>
              <w:right w:w="108" w:type="dxa"/>
            </w:tcMar>
          </w:tcPr>
          <w:p w14:paraId="5D43A5BD"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2035</w:t>
            </w:r>
          </w:p>
        </w:tc>
        <w:tc>
          <w:tcPr>
            <w:tcW w:w="1265" w:type="pct"/>
            <w:tcMar>
              <w:left w:w="108" w:type="dxa"/>
              <w:right w:w="108" w:type="dxa"/>
            </w:tcMar>
          </w:tcPr>
          <w:p w14:paraId="073A24B2"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40 401 027,00</w:t>
            </w:r>
          </w:p>
        </w:tc>
        <w:tc>
          <w:tcPr>
            <w:tcW w:w="1265" w:type="pct"/>
            <w:tcMar>
              <w:left w:w="108" w:type="dxa"/>
              <w:right w:w="108" w:type="dxa"/>
            </w:tcMar>
          </w:tcPr>
          <w:p w14:paraId="5C9E7CC1"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39 801 027,00</w:t>
            </w:r>
          </w:p>
        </w:tc>
        <w:tc>
          <w:tcPr>
            <w:tcW w:w="1265" w:type="pct"/>
            <w:tcMar>
              <w:left w:w="108" w:type="dxa"/>
              <w:right w:w="108" w:type="dxa"/>
            </w:tcMar>
          </w:tcPr>
          <w:p w14:paraId="4724EBE1"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600 000,00</w:t>
            </w:r>
          </w:p>
        </w:tc>
      </w:tr>
      <w:tr w:rsidR="007E56D3" w:rsidRPr="00AD77D2" w14:paraId="6A238E75" w14:textId="77777777" w:rsidTr="00F41FBD">
        <w:trPr>
          <w:trHeight w:val="288"/>
        </w:trPr>
        <w:tc>
          <w:tcPr>
            <w:tcW w:w="1205" w:type="pct"/>
            <w:tcMar>
              <w:left w:w="108" w:type="dxa"/>
              <w:right w:w="108" w:type="dxa"/>
            </w:tcMar>
          </w:tcPr>
          <w:p w14:paraId="54F5A79F"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2036</w:t>
            </w:r>
          </w:p>
        </w:tc>
        <w:tc>
          <w:tcPr>
            <w:tcW w:w="1265" w:type="pct"/>
            <w:tcMar>
              <w:left w:w="108" w:type="dxa"/>
              <w:right w:w="108" w:type="dxa"/>
            </w:tcMar>
          </w:tcPr>
          <w:p w14:paraId="6F2C5B98"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41 384 553,00</w:t>
            </w:r>
          </w:p>
        </w:tc>
        <w:tc>
          <w:tcPr>
            <w:tcW w:w="1265" w:type="pct"/>
            <w:tcMar>
              <w:left w:w="108" w:type="dxa"/>
              <w:right w:w="108" w:type="dxa"/>
            </w:tcMar>
          </w:tcPr>
          <w:p w14:paraId="13C2D872"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40 784 553,00</w:t>
            </w:r>
          </w:p>
        </w:tc>
        <w:tc>
          <w:tcPr>
            <w:tcW w:w="1265" w:type="pct"/>
            <w:tcMar>
              <w:left w:w="108" w:type="dxa"/>
              <w:right w:w="108" w:type="dxa"/>
            </w:tcMar>
          </w:tcPr>
          <w:p w14:paraId="34F65B91"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600 000,00</w:t>
            </w:r>
          </w:p>
        </w:tc>
      </w:tr>
      <w:tr w:rsidR="007E56D3" w:rsidRPr="00AD77D2" w14:paraId="7BE7D57F" w14:textId="77777777" w:rsidTr="00F41FBD">
        <w:trPr>
          <w:trHeight w:val="304"/>
        </w:trPr>
        <w:tc>
          <w:tcPr>
            <w:tcW w:w="1205" w:type="pct"/>
            <w:tcMar>
              <w:left w:w="108" w:type="dxa"/>
              <w:right w:w="108" w:type="dxa"/>
            </w:tcMar>
          </w:tcPr>
          <w:p w14:paraId="711D14F6"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2037</w:t>
            </w:r>
          </w:p>
        </w:tc>
        <w:tc>
          <w:tcPr>
            <w:tcW w:w="1265" w:type="pct"/>
            <w:tcMar>
              <w:left w:w="108" w:type="dxa"/>
              <w:right w:w="108" w:type="dxa"/>
            </w:tcMar>
          </w:tcPr>
          <w:p w14:paraId="03BA283E"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42 392 667,00</w:t>
            </w:r>
          </w:p>
        </w:tc>
        <w:tc>
          <w:tcPr>
            <w:tcW w:w="1265" w:type="pct"/>
            <w:tcMar>
              <w:left w:w="108" w:type="dxa"/>
              <w:right w:w="108" w:type="dxa"/>
            </w:tcMar>
          </w:tcPr>
          <w:p w14:paraId="17A68434"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41 792 667,00</w:t>
            </w:r>
          </w:p>
        </w:tc>
        <w:tc>
          <w:tcPr>
            <w:tcW w:w="1265" w:type="pct"/>
            <w:tcMar>
              <w:left w:w="108" w:type="dxa"/>
              <w:right w:w="108" w:type="dxa"/>
            </w:tcMar>
          </w:tcPr>
          <w:p w14:paraId="6A2A82C6"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600 000,00</w:t>
            </w:r>
          </w:p>
        </w:tc>
      </w:tr>
      <w:tr w:rsidR="007E56D3" w:rsidRPr="00AD77D2" w14:paraId="247AF541" w14:textId="77777777" w:rsidTr="00F41FBD">
        <w:trPr>
          <w:trHeight w:val="272"/>
        </w:trPr>
        <w:tc>
          <w:tcPr>
            <w:tcW w:w="1205" w:type="pct"/>
            <w:tcMar>
              <w:left w:w="108" w:type="dxa"/>
              <w:right w:w="108" w:type="dxa"/>
            </w:tcMar>
          </w:tcPr>
          <w:p w14:paraId="07F654BD" w14:textId="77777777" w:rsidR="007E56D3" w:rsidRPr="00AD77D2" w:rsidRDefault="007E56D3" w:rsidP="00AD77D2">
            <w:pPr>
              <w:pStyle w:val="TableCell"/>
              <w:spacing w:line="276" w:lineRule="auto"/>
              <w:jc w:val="center"/>
              <w:rPr>
                <w:rFonts w:ascii="Century" w:hAnsi="Century" w:cs="Calibri"/>
                <w:sz w:val="20"/>
                <w:szCs w:val="24"/>
              </w:rPr>
            </w:pPr>
            <w:r w:rsidRPr="00AD77D2">
              <w:rPr>
                <w:rFonts w:ascii="Century" w:hAnsi="Century"/>
                <w:sz w:val="20"/>
                <w:szCs w:val="24"/>
              </w:rPr>
              <w:t>2038</w:t>
            </w:r>
          </w:p>
        </w:tc>
        <w:tc>
          <w:tcPr>
            <w:tcW w:w="1265" w:type="pct"/>
            <w:tcMar>
              <w:left w:w="108" w:type="dxa"/>
              <w:right w:w="108" w:type="dxa"/>
            </w:tcMar>
          </w:tcPr>
          <w:p w14:paraId="101D83D8"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43 425 984,00</w:t>
            </w:r>
          </w:p>
        </w:tc>
        <w:tc>
          <w:tcPr>
            <w:tcW w:w="1265" w:type="pct"/>
            <w:tcMar>
              <w:left w:w="108" w:type="dxa"/>
              <w:right w:w="108" w:type="dxa"/>
            </w:tcMar>
          </w:tcPr>
          <w:p w14:paraId="5757BD40"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42 825 984,00</w:t>
            </w:r>
          </w:p>
        </w:tc>
        <w:tc>
          <w:tcPr>
            <w:tcW w:w="1265" w:type="pct"/>
            <w:tcMar>
              <w:left w:w="108" w:type="dxa"/>
              <w:right w:w="108" w:type="dxa"/>
            </w:tcMar>
          </w:tcPr>
          <w:p w14:paraId="5C041A8A" w14:textId="77777777" w:rsidR="007E56D3" w:rsidRPr="00AD77D2" w:rsidRDefault="007E56D3" w:rsidP="00AD77D2">
            <w:pPr>
              <w:pStyle w:val="TableCell"/>
              <w:spacing w:line="276" w:lineRule="auto"/>
              <w:jc w:val="right"/>
              <w:rPr>
                <w:rFonts w:ascii="Century" w:hAnsi="Century" w:cs="Calibri"/>
                <w:sz w:val="20"/>
                <w:szCs w:val="24"/>
              </w:rPr>
            </w:pPr>
            <w:r w:rsidRPr="00AD77D2">
              <w:rPr>
                <w:rFonts w:ascii="Century" w:hAnsi="Century"/>
                <w:sz w:val="20"/>
                <w:szCs w:val="24"/>
              </w:rPr>
              <w:t>600 000,00</w:t>
            </w:r>
          </w:p>
        </w:tc>
      </w:tr>
    </w:tbl>
    <w:p w14:paraId="5F15B83D" w14:textId="77777777" w:rsidR="007E56D3" w:rsidRPr="00C3011B" w:rsidRDefault="007E56D3" w:rsidP="00261C41">
      <w:pPr>
        <w:pStyle w:val="Nagwek1"/>
        <w:keepNext/>
        <w:spacing w:after="160" w:line="360" w:lineRule="auto"/>
        <w:rPr>
          <w:rFonts w:ascii="Century" w:hAnsi="Century" w:cs="Calibri"/>
          <w:b/>
          <w:bCs w:val="0"/>
          <w:sz w:val="22"/>
          <w:szCs w:val="20"/>
        </w:rPr>
      </w:pPr>
      <w:r w:rsidRPr="00C3011B">
        <w:rPr>
          <w:rFonts w:ascii="Century" w:hAnsi="Century"/>
          <w:b/>
          <w:bCs w:val="0"/>
          <w:sz w:val="22"/>
          <w:szCs w:val="20"/>
        </w:rPr>
        <w:lastRenderedPageBreak/>
        <w:t>4. Przychody</w:t>
      </w:r>
    </w:p>
    <w:p w14:paraId="006C9427" w14:textId="65F6E4E9" w:rsidR="00BB07F9" w:rsidRPr="00C3011B" w:rsidRDefault="00226D2E" w:rsidP="00261C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C3011B">
        <w:rPr>
          <w:rFonts w:ascii="Century" w:hAnsi="Century" w:cs="Century"/>
          <w:sz w:val="20"/>
          <w:szCs w:val="20"/>
          <w:lang w:eastAsia="en-US"/>
        </w:rPr>
        <w:t>Planowane przychody budżetu w 20</w:t>
      </w:r>
      <w:r w:rsidR="009325C5" w:rsidRPr="00C3011B">
        <w:rPr>
          <w:rFonts w:ascii="Century" w:hAnsi="Century" w:cs="Century"/>
          <w:sz w:val="20"/>
          <w:szCs w:val="20"/>
          <w:lang w:eastAsia="en-US"/>
        </w:rPr>
        <w:t>2</w:t>
      </w:r>
      <w:r w:rsidR="00887E00" w:rsidRPr="00C3011B">
        <w:rPr>
          <w:rFonts w:ascii="Century" w:hAnsi="Century" w:cs="Century"/>
          <w:sz w:val="20"/>
          <w:szCs w:val="20"/>
          <w:lang w:eastAsia="en-US"/>
        </w:rPr>
        <w:t>3</w:t>
      </w:r>
      <w:r w:rsidR="009F17D6" w:rsidRPr="00C3011B">
        <w:rPr>
          <w:rFonts w:ascii="Century" w:hAnsi="Century" w:cs="Century"/>
          <w:sz w:val="20"/>
          <w:szCs w:val="20"/>
          <w:lang w:eastAsia="en-US"/>
        </w:rPr>
        <w:t xml:space="preserve"> </w:t>
      </w:r>
      <w:r w:rsidRPr="00C3011B">
        <w:rPr>
          <w:rFonts w:ascii="Century" w:hAnsi="Century" w:cs="Century"/>
          <w:sz w:val="20"/>
          <w:szCs w:val="20"/>
          <w:lang w:eastAsia="en-US"/>
        </w:rPr>
        <w:t xml:space="preserve">r. w kwocie </w:t>
      </w:r>
      <w:r w:rsidR="00887E00" w:rsidRPr="00C3011B">
        <w:rPr>
          <w:rFonts w:ascii="Century" w:hAnsi="Century" w:cs="Century"/>
          <w:sz w:val="20"/>
          <w:szCs w:val="20"/>
          <w:lang w:eastAsia="en-US"/>
        </w:rPr>
        <w:t>12 138 212,00</w:t>
      </w:r>
      <w:r w:rsidRPr="00C3011B">
        <w:rPr>
          <w:rFonts w:ascii="Century" w:hAnsi="Century" w:cs="Century"/>
          <w:sz w:val="20"/>
          <w:szCs w:val="20"/>
          <w:lang w:eastAsia="en-US"/>
        </w:rPr>
        <w:t xml:space="preserve"> zł stanowić będą</w:t>
      </w:r>
      <w:r w:rsidR="00BB07F9" w:rsidRPr="00C3011B">
        <w:rPr>
          <w:rFonts w:ascii="Century" w:hAnsi="Century" w:cs="Century"/>
          <w:sz w:val="20"/>
          <w:szCs w:val="20"/>
          <w:lang w:eastAsia="en-US"/>
        </w:rPr>
        <w:t>:</w:t>
      </w:r>
    </w:p>
    <w:p w14:paraId="12957A37" w14:textId="5159343D" w:rsidR="00BB07F9" w:rsidRPr="00C3011B" w:rsidRDefault="00DE0CC2" w:rsidP="00BB07F9">
      <w:pPr>
        <w:pStyle w:val="Akapitzlist"/>
        <w:widowControl w:val="0"/>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bCs/>
          <w:sz w:val="20"/>
          <w:szCs w:val="20"/>
        </w:rPr>
      </w:pPr>
      <w:r w:rsidRPr="00C3011B">
        <w:rPr>
          <w:rFonts w:ascii="Century" w:hAnsi="Century" w:cs="Century"/>
          <w:sz w:val="20"/>
          <w:szCs w:val="20"/>
          <w:lang w:eastAsia="en-US"/>
        </w:rPr>
        <w:t xml:space="preserve">przychody z tytułu </w:t>
      </w:r>
      <w:r w:rsidR="00226D2E" w:rsidRPr="00C3011B">
        <w:rPr>
          <w:rFonts w:ascii="Century" w:hAnsi="Century" w:cs="Century"/>
          <w:sz w:val="20"/>
          <w:szCs w:val="20"/>
          <w:lang w:eastAsia="en-US"/>
        </w:rPr>
        <w:t>zaciągnięt</w:t>
      </w:r>
      <w:r w:rsidR="00F50DE4" w:rsidRPr="00C3011B">
        <w:rPr>
          <w:rFonts w:ascii="Century" w:hAnsi="Century" w:cs="Century"/>
          <w:sz w:val="20"/>
          <w:szCs w:val="20"/>
          <w:lang w:eastAsia="en-US"/>
        </w:rPr>
        <w:t>ych</w:t>
      </w:r>
      <w:r w:rsidR="00226D2E" w:rsidRPr="00C3011B">
        <w:rPr>
          <w:rFonts w:ascii="Century" w:hAnsi="Century" w:cs="Century"/>
          <w:sz w:val="20"/>
          <w:szCs w:val="20"/>
          <w:lang w:eastAsia="en-US"/>
        </w:rPr>
        <w:t xml:space="preserve"> kredy</w:t>
      </w:r>
      <w:r w:rsidR="00F370B7" w:rsidRPr="00C3011B">
        <w:rPr>
          <w:rFonts w:ascii="Century" w:hAnsi="Century" w:cs="Century"/>
          <w:sz w:val="20"/>
          <w:szCs w:val="20"/>
          <w:lang w:eastAsia="en-US"/>
        </w:rPr>
        <w:t>t</w:t>
      </w:r>
      <w:r w:rsidR="00F50DE4" w:rsidRPr="00C3011B">
        <w:rPr>
          <w:rFonts w:ascii="Century" w:hAnsi="Century" w:cs="Century"/>
          <w:sz w:val="20"/>
          <w:szCs w:val="20"/>
          <w:lang w:eastAsia="en-US"/>
        </w:rPr>
        <w:t>ów</w:t>
      </w:r>
      <w:r w:rsidR="00F370B7" w:rsidRPr="00C3011B">
        <w:rPr>
          <w:rFonts w:ascii="Century" w:hAnsi="Century" w:cs="Century"/>
          <w:sz w:val="20"/>
          <w:szCs w:val="20"/>
          <w:lang w:eastAsia="en-US"/>
        </w:rPr>
        <w:t xml:space="preserve"> i pożycz</w:t>
      </w:r>
      <w:r w:rsidR="00F50DE4" w:rsidRPr="00C3011B">
        <w:rPr>
          <w:rFonts w:ascii="Century" w:hAnsi="Century" w:cs="Century"/>
          <w:sz w:val="20"/>
          <w:szCs w:val="20"/>
          <w:lang w:eastAsia="en-US"/>
        </w:rPr>
        <w:t>ek</w:t>
      </w:r>
      <w:r w:rsidR="00F370B7" w:rsidRPr="00C3011B">
        <w:rPr>
          <w:rFonts w:ascii="Century" w:hAnsi="Century" w:cs="Century"/>
          <w:sz w:val="20"/>
          <w:szCs w:val="20"/>
          <w:lang w:eastAsia="en-US"/>
        </w:rPr>
        <w:t xml:space="preserve"> na rynku krajowym w kwocie </w:t>
      </w:r>
      <w:r w:rsidR="00887E00" w:rsidRPr="00C3011B">
        <w:rPr>
          <w:rFonts w:ascii="Century" w:hAnsi="Century" w:cs="Century"/>
          <w:sz w:val="20"/>
          <w:szCs w:val="20"/>
          <w:lang w:eastAsia="en-US"/>
        </w:rPr>
        <w:t>9 508 898</w:t>
      </w:r>
      <w:r w:rsidR="009F17D6" w:rsidRPr="00C3011B">
        <w:rPr>
          <w:rFonts w:ascii="Century" w:hAnsi="Century" w:cs="Century"/>
          <w:sz w:val="20"/>
          <w:szCs w:val="20"/>
          <w:lang w:eastAsia="en-US"/>
        </w:rPr>
        <w:t>,</w:t>
      </w:r>
      <w:r w:rsidR="00F370B7" w:rsidRPr="00C3011B">
        <w:rPr>
          <w:rFonts w:ascii="Century" w:hAnsi="Century" w:cs="Century"/>
          <w:sz w:val="20"/>
          <w:szCs w:val="20"/>
          <w:lang w:eastAsia="en-US"/>
        </w:rPr>
        <w:t>00 zł</w:t>
      </w:r>
      <w:r w:rsidR="00113DCB" w:rsidRPr="00C3011B">
        <w:rPr>
          <w:rFonts w:ascii="Century" w:hAnsi="Century" w:cs="Century"/>
          <w:sz w:val="20"/>
          <w:szCs w:val="20"/>
          <w:lang w:eastAsia="en-US"/>
        </w:rPr>
        <w:t>,</w:t>
      </w:r>
      <w:r w:rsidRPr="00C3011B">
        <w:rPr>
          <w:rFonts w:ascii="Century" w:hAnsi="Century" w:cs="Century"/>
          <w:sz w:val="20"/>
          <w:szCs w:val="20"/>
          <w:lang w:eastAsia="en-US"/>
        </w:rPr>
        <w:t xml:space="preserve"> </w:t>
      </w:r>
    </w:p>
    <w:p w14:paraId="04706261" w14:textId="3AB6C7C1" w:rsidR="00BB07F9" w:rsidRPr="00C3011B" w:rsidRDefault="007979E1" w:rsidP="00BB07F9">
      <w:pPr>
        <w:pStyle w:val="Akapitzlist"/>
        <w:widowControl w:val="0"/>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bCs/>
          <w:sz w:val="20"/>
          <w:szCs w:val="20"/>
        </w:rPr>
      </w:pPr>
      <w:r w:rsidRPr="00C3011B">
        <w:rPr>
          <w:rFonts w:ascii="Century" w:hAnsi="Century" w:cs="Century"/>
          <w:sz w:val="20"/>
          <w:szCs w:val="20"/>
          <w:lang w:eastAsia="en-US"/>
        </w:rPr>
        <w:t>wolne środki, o których mowa w art.</w:t>
      </w:r>
      <w:r w:rsidR="00DE0CC2" w:rsidRPr="00C3011B">
        <w:rPr>
          <w:rFonts w:ascii="Century" w:hAnsi="Century" w:cs="Century"/>
          <w:sz w:val="20"/>
          <w:szCs w:val="20"/>
          <w:lang w:eastAsia="en-US"/>
        </w:rPr>
        <w:t xml:space="preserve"> </w:t>
      </w:r>
      <w:r w:rsidRPr="00C3011B">
        <w:rPr>
          <w:rFonts w:ascii="Century" w:hAnsi="Century" w:cs="Century"/>
          <w:sz w:val="20"/>
          <w:szCs w:val="20"/>
          <w:lang w:eastAsia="en-US"/>
        </w:rPr>
        <w:t>217 ust.</w:t>
      </w:r>
      <w:r w:rsidR="00DE0CC2" w:rsidRPr="00C3011B">
        <w:rPr>
          <w:rFonts w:ascii="Century" w:hAnsi="Century" w:cs="Century"/>
          <w:sz w:val="20"/>
          <w:szCs w:val="20"/>
          <w:lang w:eastAsia="en-US"/>
        </w:rPr>
        <w:t xml:space="preserve"> </w:t>
      </w:r>
      <w:r w:rsidRPr="00C3011B">
        <w:rPr>
          <w:rFonts w:ascii="Century" w:hAnsi="Century" w:cs="Century"/>
          <w:sz w:val="20"/>
          <w:szCs w:val="20"/>
          <w:lang w:eastAsia="en-US"/>
        </w:rPr>
        <w:t xml:space="preserve">2 pkt 6 ustawy w kwocie </w:t>
      </w:r>
      <w:r w:rsidR="00887E00" w:rsidRPr="00C3011B">
        <w:rPr>
          <w:rFonts w:ascii="Century" w:hAnsi="Century" w:cs="Century"/>
          <w:sz w:val="20"/>
          <w:szCs w:val="20"/>
          <w:lang w:eastAsia="en-US"/>
        </w:rPr>
        <w:t>1 500 000</w:t>
      </w:r>
      <w:r w:rsidR="009F17D6" w:rsidRPr="00C3011B">
        <w:rPr>
          <w:rFonts w:ascii="Century" w:hAnsi="Century" w:cs="Century"/>
          <w:sz w:val="20"/>
          <w:szCs w:val="20"/>
          <w:lang w:eastAsia="en-US"/>
        </w:rPr>
        <w:t>,00</w:t>
      </w:r>
      <w:r w:rsidR="00113DCB" w:rsidRPr="00C3011B">
        <w:rPr>
          <w:rFonts w:ascii="Century" w:hAnsi="Century" w:cs="Century"/>
          <w:sz w:val="20"/>
          <w:szCs w:val="20"/>
          <w:lang w:eastAsia="en-US"/>
        </w:rPr>
        <w:t xml:space="preserve"> zł</w:t>
      </w:r>
      <w:r w:rsidR="00887E00" w:rsidRPr="00C3011B">
        <w:rPr>
          <w:rFonts w:ascii="Century" w:hAnsi="Century" w:cs="Century"/>
          <w:sz w:val="20"/>
          <w:szCs w:val="20"/>
          <w:lang w:eastAsia="en-US"/>
        </w:rPr>
        <w:t>,</w:t>
      </w:r>
    </w:p>
    <w:p w14:paraId="214AD659" w14:textId="17B23A8D" w:rsidR="00C3011B" w:rsidRPr="00C3011B" w:rsidRDefault="00C3011B" w:rsidP="00BB07F9">
      <w:pPr>
        <w:pStyle w:val="Akapitzlist"/>
        <w:widowControl w:val="0"/>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bCs/>
          <w:sz w:val="20"/>
          <w:szCs w:val="20"/>
        </w:rPr>
      </w:pPr>
      <w:r w:rsidRPr="00C3011B">
        <w:rPr>
          <w:rFonts w:ascii="Century" w:hAnsi="Century"/>
          <w:bCs/>
          <w:sz w:val="20"/>
          <w:szCs w:val="20"/>
        </w:rPr>
        <w:t>przychody z niewykorzystanych środków pieniężnych na rachunku bieżącym budżetu, wynikających z rozliczenia dochodów i wydatków nimi finansowanych związanych ze szczególnymi zasadami wykonywania budżetu określonymi w odrębnych ustawach w kwocie 907 699,00 zł,</w:t>
      </w:r>
    </w:p>
    <w:p w14:paraId="4ED35318" w14:textId="4A462058" w:rsidR="00C3011B" w:rsidRPr="00C3011B" w:rsidRDefault="00C3011B" w:rsidP="00BB07F9">
      <w:pPr>
        <w:pStyle w:val="Akapitzlist"/>
        <w:widowControl w:val="0"/>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bCs/>
          <w:sz w:val="20"/>
          <w:szCs w:val="20"/>
        </w:rPr>
      </w:pPr>
      <w:r w:rsidRPr="00C3011B">
        <w:rPr>
          <w:rFonts w:ascii="Century" w:hAnsi="Century"/>
          <w:bCs/>
          <w:sz w:val="20"/>
          <w:szCs w:val="20"/>
        </w:rPr>
        <w:t>przychody wynikające z rozliczenia środków określonych w art. 5 ust. 1 pkt 2 ustawy i dotacji na realizację programu, projektu lub zadania finansowanego z udziałem tych środków w kwocie 185 415,00 zł,</w:t>
      </w:r>
    </w:p>
    <w:p w14:paraId="3A9C0EBC" w14:textId="21C99E87" w:rsidR="0006231B" w:rsidRPr="00C3011B" w:rsidRDefault="00113DCB" w:rsidP="00051126">
      <w:pPr>
        <w:pStyle w:val="Akapitzlist"/>
        <w:widowControl w:val="0"/>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360" w:lineRule="auto"/>
        <w:jc w:val="both"/>
        <w:rPr>
          <w:rFonts w:ascii="Century" w:hAnsi="Century"/>
          <w:bCs/>
          <w:sz w:val="20"/>
          <w:szCs w:val="20"/>
        </w:rPr>
      </w:pPr>
      <w:r w:rsidRPr="00C3011B">
        <w:rPr>
          <w:rFonts w:ascii="Century" w:hAnsi="Century"/>
          <w:bCs/>
          <w:sz w:val="20"/>
          <w:szCs w:val="20"/>
        </w:rPr>
        <w:t>spłaty pożyczek udzielo</w:t>
      </w:r>
      <w:r w:rsidR="00DE0CC2" w:rsidRPr="00C3011B">
        <w:rPr>
          <w:rFonts w:ascii="Century" w:hAnsi="Century"/>
          <w:bCs/>
          <w:sz w:val="20"/>
          <w:szCs w:val="20"/>
        </w:rPr>
        <w:t xml:space="preserve">nych z budżetu gminy w kwocie </w:t>
      </w:r>
      <w:r w:rsidR="00887E00" w:rsidRPr="00C3011B">
        <w:rPr>
          <w:rFonts w:ascii="Century" w:hAnsi="Century"/>
          <w:bCs/>
          <w:sz w:val="20"/>
          <w:szCs w:val="20"/>
        </w:rPr>
        <w:t>36 200</w:t>
      </w:r>
      <w:r w:rsidRPr="00C3011B">
        <w:rPr>
          <w:rFonts w:ascii="Century" w:hAnsi="Century"/>
          <w:bCs/>
          <w:sz w:val="20"/>
          <w:szCs w:val="20"/>
        </w:rPr>
        <w:t>,00 zł.</w:t>
      </w:r>
    </w:p>
    <w:p w14:paraId="0FEE1EE9" w14:textId="0148653C" w:rsidR="00E94DC3" w:rsidRDefault="007148FD" w:rsidP="00E71B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sz w:val="20"/>
        </w:rPr>
      </w:pPr>
      <w:r w:rsidRPr="00496AE9">
        <w:rPr>
          <w:rFonts w:ascii="Century" w:hAnsi="Century" w:cs="Century"/>
          <w:sz w:val="20"/>
          <w:szCs w:val="20"/>
          <w:lang w:eastAsia="en-US"/>
        </w:rPr>
        <w:t>W</w:t>
      </w:r>
      <w:r w:rsidR="00113DCB" w:rsidRPr="00496AE9">
        <w:rPr>
          <w:rFonts w:ascii="Century" w:hAnsi="Century" w:cs="Century"/>
          <w:sz w:val="20"/>
          <w:szCs w:val="20"/>
          <w:lang w:eastAsia="en-US"/>
        </w:rPr>
        <w:t xml:space="preserve"> 20</w:t>
      </w:r>
      <w:r w:rsidR="009325C5" w:rsidRPr="00496AE9">
        <w:rPr>
          <w:rFonts w:ascii="Century" w:hAnsi="Century" w:cs="Century"/>
          <w:sz w:val="20"/>
          <w:szCs w:val="20"/>
          <w:lang w:eastAsia="en-US"/>
        </w:rPr>
        <w:t>2</w:t>
      </w:r>
      <w:r w:rsidR="00887E00" w:rsidRPr="00496AE9">
        <w:rPr>
          <w:rFonts w:ascii="Century" w:hAnsi="Century" w:cs="Century"/>
          <w:sz w:val="20"/>
          <w:szCs w:val="20"/>
          <w:lang w:eastAsia="en-US"/>
        </w:rPr>
        <w:t>3</w:t>
      </w:r>
      <w:r w:rsidR="00BE42C2" w:rsidRPr="00496AE9">
        <w:rPr>
          <w:rFonts w:ascii="Century" w:hAnsi="Century" w:cs="Century"/>
          <w:sz w:val="20"/>
          <w:szCs w:val="20"/>
          <w:lang w:eastAsia="en-US"/>
        </w:rPr>
        <w:t xml:space="preserve"> </w:t>
      </w:r>
      <w:r w:rsidR="00113DCB" w:rsidRPr="00496AE9">
        <w:rPr>
          <w:rFonts w:ascii="Century" w:hAnsi="Century" w:cs="Century"/>
          <w:sz w:val="20"/>
          <w:szCs w:val="20"/>
          <w:lang w:eastAsia="en-US"/>
        </w:rPr>
        <w:t>r.</w:t>
      </w:r>
      <w:r w:rsidR="00226D2E" w:rsidRPr="00496AE9">
        <w:rPr>
          <w:rFonts w:ascii="Century" w:hAnsi="Century" w:cs="Century"/>
          <w:sz w:val="20"/>
          <w:szCs w:val="20"/>
          <w:lang w:eastAsia="en-US"/>
        </w:rPr>
        <w:t xml:space="preserve"> planuje się zaciągn</w:t>
      </w:r>
      <w:r w:rsidR="00DE0CC2" w:rsidRPr="00496AE9">
        <w:rPr>
          <w:rFonts w:ascii="Century" w:hAnsi="Century" w:cs="Century"/>
          <w:sz w:val="20"/>
          <w:szCs w:val="20"/>
          <w:lang w:eastAsia="en-US"/>
        </w:rPr>
        <w:t>ięcie</w:t>
      </w:r>
      <w:r w:rsidR="00226D2E" w:rsidRPr="00496AE9">
        <w:rPr>
          <w:rFonts w:ascii="Century" w:hAnsi="Century" w:cs="Century"/>
          <w:sz w:val="20"/>
          <w:szCs w:val="20"/>
          <w:lang w:eastAsia="en-US"/>
        </w:rPr>
        <w:t xml:space="preserve"> pożycz</w:t>
      </w:r>
      <w:r w:rsidR="00F8519E" w:rsidRPr="00496AE9">
        <w:rPr>
          <w:rFonts w:ascii="Century" w:hAnsi="Century" w:cs="Century"/>
          <w:sz w:val="20"/>
          <w:szCs w:val="20"/>
          <w:lang w:eastAsia="en-US"/>
        </w:rPr>
        <w:t>ek</w:t>
      </w:r>
      <w:r w:rsidR="00226D2E" w:rsidRPr="00496AE9">
        <w:rPr>
          <w:rFonts w:ascii="Century" w:hAnsi="Century" w:cs="Century"/>
          <w:sz w:val="20"/>
          <w:szCs w:val="20"/>
          <w:lang w:eastAsia="en-US"/>
        </w:rPr>
        <w:t xml:space="preserve"> </w:t>
      </w:r>
      <w:r w:rsidRPr="00496AE9">
        <w:rPr>
          <w:rFonts w:ascii="Century" w:hAnsi="Century" w:cs="Century"/>
          <w:sz w:val="20"/>
          <w:szCs w:val="20"/>
          <w:lang w:eastAsia="en-US"/>
        </w:rPr>
        <w:t xml:space="preserve">na finansowanie inwestycji </w:t>
      </w:r>
      <w:r w:rsidR="00DE0CC2" w:rsidRPr="00496AE9">
        <w:rPr>
          <w:rFonts w:ascii="Century" w:hAnsi="Century" w:cs="Century"/>
          <w:sz w:val="20"/>
          <w:szCs w:val="20"/>
          <w:lang w:eastAsia="en-US"/>
        </w:rPr>
        <w:t>na zadania finansowane</w:t>
      </w:r>
      <w:r w:rsidR="00157CF5" w:rsidRPr="00496AE9">
        <w:rPr>
          <w:rFonts w:ascii="Century" w:hAnsi="Century" w:cs="Century"/>
          <w:sz w:val="20"/>
          <w:szCs w:val="20"/>
          <w:lang w:eastAsia="en-US"/>
        </w:rPr>
        <w:t xml:space="preserve"> z udziałem środków pochodzącyc</w:t>
      </w:r>
      <w:r w:rsidR="00226D2E" w:rsidRPr="00496AE9">
        <w:rPr>
          <w:rFonts w:ascii="Century" w:hAnsi="Century" w:cs="Century"/>
          <w:sz w:val="20"/>
          <w:szCs w:val="20"/>
          <w:lang w:eastAsia="en-US"/>
        </w:rPr>
        <w:t xml:space="preserve">h z budżetu Unii Europejskiej </w:t>
      </w:r>
      <w:r w:rsidR="00157CF5" w:rsidRPr="00496AE9">
        <w:rPr>
          <w:rFonts w:ascii="Century" w:hAnsi="Century" w:cs="Century"/>
          <w:sz w:val="20"/>
          <w:szCs w:val="20"/>
          <w:lang w:eastAsia="en-US"/>
        </w:rPr>
        <w:t xml:space="preserve">w kwocie </w:t>
      </w:r>
      <w:r w:rsidR="00887E00" w:rsidRPr="00496AE9">
        <w:rPr>
          <w:rFonts w:ascii="Century" w:hAnsi="Century" w:cs="Century"/>
          <w:sz w:val="20"/>
          <w:szCs w:val="20"/>
          <w:lang w:eastAsia="en-US"/>
        </w:rPr>
        <w:t>3 508 898</w:t>
      </w:r>
      <w:r w:rsidR="00F8519E" w:rsidRPr="00496AE9">
        <w:rPr>
          <w:rFonts w:ascii="Century" w:hAnsi="Century" w:cs="Century"/>
          <w:sz w:val="20"/>
          <w:szCs w:val="20"/>
          <w:lang w:eastAsia="en-US"/>
        </w:rPr>
        <w:t>,</w:t>
      </w:r>
      <w:r w:rsidR="007A3B69" w:rsidRPr="00496AE9">
        <w:rPr>
          <w:rFonts w:ascii="Century" w:hAnsi="Century" w:cs="Century"/>
          <w:sz w:val="20"/>
          <w:szCs w:val="20"/>
          <w:lang w:eastAsia="en-US"/>
        </w:rPr>
        <w:t>00</w:t>
      </w:r>
      <w:r w:rsidR="00226D2E" w:rsidRPr="00496AE9">
        <w:rPr>
          <w:rFonts w:ascii="Century" w:hAnsi="Century" w:cs="Century"/>
          <w:sz w:val="20"/>
          <w:szCs w:val="20"/>
          <w:lang w:eastAsia="en-US"/>
        </w:rPr>
        <w:t xml:space="preserve"> </w:t>
      </w:r>
      <w:r w:rsidR="00157CF5" w:rsidRPr="00496AE9">
        <w:rPr>
          <w:rFonts w:ascii="Century" w:hAnsi="Century" w:cs="Century"/>
          <w:sz w:val="20"/>
          <w:szCs w:val="20"/>
          <w:lang w:eastAsia="en-US"/>
        </w:rPr>
        <w:t xml:space="preserve">zł, </w:t>
      </w:r>
      <w:r w:rsidR="00F8519E" w:rsidRPr="00496AE9">
        <w:rPr>
          <w:rFonts w:ascii="Century" w:hAnsi="Century" w:cs="Century"/>
          <w:sz w:val="20"/>
          <w:szCs w:val="20"/>
          <w:lang w:eastAsia="en-US"/>
        </w:rPr>
        <w:t xml:space="preserve">którą stanowią </w:t>
      </w:r>
      <w:r w:rsidR="00617F36" w:rsidRPr="00496AE9">
        <w:rPr>
          <w:rFonts w:ascii="Century" w:hAnsi="Century" w:cs="Century"/>
          <w:sz w:val="20"/>
          <w:szCs w:val="20"/>
          <w:lang w:eastAsia="en-US"/>
        </w:rPr>
        <w:t>pożyczk</w:t>
      </w:r>
      <w:r w:rsidR="00F8519E" w:rsidRPr="00496AE9">
        <w:rPr>
          <w:rFonts w:ascii="Century" w:hAnsi="Century" w:cs="Century"/>
          <w:sz w:val="20"/>
          <w:szCs w:val="20"/>
          <w:lang w:eastAsia="en-US"/>
        </w:rPr>
        <w:t>i</w:t>
      </w:r>
      <w:r w:rsidR="00157CF5" w:rsidRPr="00496AE9">
        <w:rPr>
          <w:rFonts w:ascii="Century" w:hAnsi="Century" w:cs="Century"/>
          <w:sz w:val="20"/>
          <w:szCs w:val="20"/>
          <w:lang w:eastAsia="en-US"/>
        </w:rPr>
        <w:t xml:space="preserve"> na wyprzedzające finansowanie działań finansowany</w:t>
      </w:r>
      <w:r w:rsidR="007A3B69" w:rsidRPr="00496AE9">
        <w:rPr>
          <w:rFonts w:ascii="Century" w:hAnsi="Century" w:cs="Century"/>
          <w:sz w:val="20"/>
          <w:szCs w:val="20"/>
          <w:lang w:eastAsia="en-US"/>
        </w:rPr>
        <w:t>c</w:t>
      </w:r>
      <w:r w:rsidR="00113DCB" w:rsidRPr="00496AE9">
        <w:rPr>
          <w:rFonts w:ascii="Century" w:hAnsi="Century" w:cs="Century"/>
          <w:sz w:val="20"/>
          <w:szCs w:val="20"/>
          <w:lang w:eastAsia="en-US"/>
        </w:rPr>
        <w:t>h z budżetu Unii Europejskiej.</w:t>
      </w:r>
      <w:r w:rsidRPr="00496AE9">
        <w:rPr>
          <w:rFonts w:ascii="Century" w:hAnsi="Century" w:cs="Century"/>
          <w:sz w:val="20"/>
          <w:szCs w:val="20"/>
          <w:lang w:eastAsia="en-US"/>
        </w:rPr>
        <w:t xml:space="preserve"> </w:t>
      </w:r>
      <w:r w:rsidR="00157CF5" w:rsidRPr="00496AE9">
        <w:rPr>
          <w:rFonts w:ascii="Century" w:hAnsi="Century" w:cs="Century"/>
          <w:sz w:val="20"/>
          <w:szCs w:val="20"/>
          <w:lang w:eastAsia="en-US"/>
        </w:rPr>
        <w:t xml:space="preserve">Pozostałe przychody z tytułu </w:t>
      </w:r>
      <w:r w:rsidR="00F8519E" w:rsidRPr="00496AE9">
        <w:rPr>
          <w:rFonts w:ascii="Century" w:hAnsi="Century" w:cs="Century"/>
          <w:sz w:val="20"/>
          <w:szCs w:val="20"/>
          <w:lang w:eastAsia="en-US"/>
        </w:rPr>
        <w:t>zaciągniętych</w:t>
      </w:r>
      <w:r w:rsidRPr="00496AE9">
        <w:rPr>
          <w:rFonts w:ascii="Century" w:hAnsi="Century" w:cs="Century"/>
          <w:sz w:val="20"/>
          <w:szCs w:val="20"/>
          <w:lang w:eastAsia="en-US"/>
        </w:rPr>
        <w:t xml:space="preserve"> </w:t>
      </w:r>
      <w:r w:rsidR="00157CF5" w:rsidRPr="00496AE9">
        <w:rPr>
          <w:rFonts w:ascii="Century" w:hAnsi="Century" w:cs="Century"/>
          <w:sz w:val="20"/>
          <w:szCs w:val="20"/>
          <w:lang w:eastAsia="en-US"/>
        </w:rPr>
        <w:t>kredytów</w:t>
      </w:r>
      <w:r w:rsidR="00113DCB" w:rsidRPr="00496AE9">
        <w:rPr>
          <w:rFonts w:ascii="Century" w:hAnsi="Century" w:cs="Century"/>
          <w:sz w:val="20"/>
          <w:szCs w:val="20"/>
          <w:lang w:eastAsia="en-US"/>
        </w:rPr>
        <w:t xml:space="preserve"> </w:t>
      </w:r>
      <w:r w:rsidR="00F8519E" w:rsidRPr="00496AE9">
        <w:rPr>
          <w:rFonts w:ascii="Century" w:hAnsi="Century" w:cs="Century"/>
          <w:sz w:val="20"/>
          <w:szCs w:val="20"/>
          <w:lang w:eastAsia="en-US"/>
        </w:rPr>
        <w:t xml:space="preserve">i pożyczek </w:t>
      </w:r>
      <w:r w:rsidRPr="00496AE9">
        <w:rPr>
          <w:rFonts w:ascii="Century" w:hAnsi="Century" w:cs="Century"/>
          <w:sz w:val="20"/>
          <w:szCs w:val="20"/>
          <w:lang w:eastAsia="en-US"/>
        </w:rPr>
        <w:t xml:space="preserve">planowane </w:t>
      </w:r>
      <w:r w:rsidR="00113DCB" w:rsidRPr="00496AE9">
        <w:rPr>
          <w:rFonts w:ascii="Century" w:hAnsi="Century" w:cs="Century"/>
          <w:sz w:val="20"/>
          <w:szCs w:val="20"/>
          <w:lang w:eastAsia="en-US"/>
        </w:rPr>
        <w:t>w 20</w:t>
      </w:r>
      <w:r w:rsidR="009325C5" w:rsidRPr="00496AE9">
        <w:rPr>
          <w:rFonts w:ascii="Century" w:hAnsi="Century" w:cs="Century"/>
          <w:sz w:val="20"/>
          <w:szCs w:val="20"/>
          <w:lang w:eastAsia="en-US"/>
        </w:rPr>
        <w:t>2</w:t>
      </w:r>
      <w:r w:rsidR="00887E00" w:rsidRPr="00496AE9">
        <w:rPr>
          <w:rFonts w:ascii="Century" w:hAnsi="Century" w:cs="Century"/>
          <w:sz w:val="20"/>
          <w:szCs w:val="20"/>
          <w:lang w:eastAsia="en-US"/>
        </w:rPr>
        <w:t>3</w:t>
      </w:r>
      <w:r w:rsidR="00BE42C2" w:rsidRPr="00496AE9">
        <w:rPr>
          <w:rFonts w:ascii="Century" w:hAnsi="Century" w:cs="Century"/>
          <w:sz w:val="20"/>
          <w:szCs w:val="20"/>
          <w:lang w:eastAsia="en-US"/>
        </w:rPr>
        <w:t xml:space="preserve"> </w:t>
      </w:r>
      <w:r w:rsidR="007A3B69" w:rsidRPr="00496AE9">
        <w:rPr>
          <w:rFonts w:ascii="Century" w:hAnsi="Century" w:cs="Century"/>
          <w:sz w:val="20"/>
          <w:szCs w:val="20"/>
          <w:lang w:eastAsia="en-US"/>
        </w:rPr>
        <w:t>r.</w:t>
      </w:r>
      <w:r w:rsidR="00157CF5" w:rsidRPr="00496AE9">
        <w:rPr>
          <w:rFonts w:ascii="Century" w:hAnsi="Century" w:cs="Century"/>
          <w:sz w:val="20"/>
          <w:szCs w:val="20"/>
          <w:lang w:eastAsia="en-US"/>
        </w:rPr>
        <w:t xml:space="preserve"> przeznaczone zostaną </w:t>
      </w:r>
      <w:r w:rsidR="00E94DC3" w:rsidRPr="00496AE9">
        <w:rPr>
          <w:rFonts w:ascii="Century" w:hAnsi="Century" w:cs="Century"/>
          <w:sz w:val="20"/>
          <w:szCs w:val="20"/>
          <w:lang w:eastAsia="en-US"/>
        </w:rPr>
        <w:t xml:space="preserve">na </w:t>
      </w:r>
      <w:r w:rsidR="00157CF5" w:rsidRPr="00496AE9">
        <w:rPr>
          <w:rFonts w:ascii="Century" w:hAnsi="Century" w:cs="Century"/>
          <w:sz w:val="20"/>
          <w:szCs w:val="20"/>
          <w:lang w:eastAsia="en-US"/>
        </w:rPr>
        <w:t>spłatę dotychczas zaciągniętych zobowiązań kredytowych i pożyczkowych</w:t>
      </w:r>
      <w:r w:rsidR="00496AE9" w:rsidRPr="00496AE9">
        <w:rPr>
          <w:rFonts w:ascii="Century" w:hAnsi="Century" w:cs="Century"/>
          <w:sz w:val="20"/>
          <w:szCs w:val="20"/>
          <w:lang w:eastAsia="en-US"/>
        </w:rPr>
        <w:t xml:space="preserve"> oraz </w:t>
      </w:r>
      <w:r w:rsidR="00496AE9" w:rsidRPr="00496AE9">
        <w:rPr>
          <w:rFonts w:ascii="Century" w:hAnsi="Century"/>
          <w:sz w:val="20"/>
        </w:rPr>
        <w:t>wykup papierów wartościowych.</w:t>
      </w:r>
    </w:p>
    <w:p w14:paraId="56FF3BCF" w14:textId="12DAB6D9" w:rsidR="00A83400" w:rsidRPr="00A83400" w:rsidRDefault="00A83400" w:rsidP="00E71B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A83400">
        <w:rPr>
          <w:rFonts w:ascii="Century" w:hAnsi="Century" w:cs="Century"/>
          <w:sz w:val="20"/>
          <w:szCs w:val="20"/>
          <w:lang w:eastAsia="en-US"/>
        </w:rPr>
        <w:t>W latach 2024 - 2038 nie planuje się przychodów budżetowych.</w:t>
      </w:r>
    </w:p>
    <w:p w14:paraId="4F6209DC" w14:textId="093B2700" w:rsidR="007E56D3" w:rsidRPr="0085590F" w:rsidRDefault="007E56D3" w:rsidP="00261C41">
      <w:pPr>
        <w:pStyle w:val="Nagwek1"/>
        <w:keepNext/>
        <w:spacing w:after="160" w:line="360" w:lineRule="auto"/>
        <w:rPr>
          <w:rFonts w:ascii="Century" w:hAnsi="Century" w:cs="Calibri"/>
          <w:b/>
          <w:bCs w:val="0"/>
          <w:sz w:val="22"/>
          <w:szCs w:val="22"/>
        </w:rPr>
      </w:pPr>
      <w:r w:rsidRPr="0085590F">
        <w:rPr>
          <w:rFonts w:ascii="Century" w:hAnsi="Century"/>
          <w:b/>
          <w:bCs w:val="0"/>
          <w:sz w:val="22"/>
          <w:szCs w:val="22"/>
        </w:rPr>
        <w:t>5. Rozchody</w:t>
      </w:r>
    </w:p>
    <w:p w14:paraId="7F2127FE" w14:textId="69FA5FB7" w:rsidR="007E56D3" w:rsidRPr="005243FC" w:rsidRDefault="007E56D3" w:rsidP="00261C41">
      <w:pPr>
        <w:spacing w:line="360" w:lineRule="auto"/>
        <w:jc w:val="both"/>
        <w:rPr>
          <w:rFonts w:ascii="Century" w:hAnsi="Century"/>
          <w:sz w:val="20"/>
          <w:szCs w:val="20"/>
        </w:rPr>
      </w:pPr>
      <w:r w:rsidRPr="0085590F">
        <w:rPr>
          <w:rFonts w:ascii="Century" w:hAnsi="Century"/>
          <w:sz w:val="20"/>
          <w:szCs w:val="20"/>
        </w:rPr>
        <w:t xml:space="preserve">W roku budżetowym oraz w okresie prognozy planuje się rozchody budżetowe. Rozchody Gminy Trzciel obejmują spłaty rat kapitałowych kredytów i pożyczek oraz wykup papierów </w:t>
      </w:r>
      <w:r w:rsidRPr="005243FC">
        <w:rPr>
          <w:rFonts w:ascii="Century" w:hAnsi="Century"/>
          <w:sz w:val="20"/>
          <w:szCs w:val="20"/>
        </w:rPr>
        <w:t>wartościowych.</w:t>
      </w:r>
    </w:p>
    <w:p w14:paraId="4536ED6F" w14:textId="79CC3BEF" w:rsidR="00091783" w:rsidRPr="005243FC" w:rsidRDefault="00091783" w:rsidP="000917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5243FC">
        <w:rPr>
          <w:rFonts w:ascii="Century" w:hAnsi="Century" w:cs="Century"/>
          <w:sz w:val="20"/>
          <w:szCs w:val="20"/>
          <w:lang w:eastAsia="en-US"/>
        </w:rPr>
        <w:t>Planowane rozchody budżetu w 2023 r. w kwocie 6 295 089,00 zł przeznaczone będą na spłaty zaciągniętych pożyczek i kredytów w kwocie 744 803,00 zł zgodnie z harmonogramami spłat (w tym kwota 123 167,30 zł wyłączona z limitu spłaty zobowiązań na podstawie art. 243 ust. 3a), spłatę pożyczek zaciągniętych na wyprzedzające finansowanie działań finansowanych z budżetu Unii Europejskiej w kwocie 5 350 286,00 zł (w tym kwota 5 350 286,00 zł wyłączona z limitu spłaty zobowiązań na podstawie art. 243 ust. 3) oraz wykup papierów wartościowych (obligacji) w kwocie 200.000,00 zł.</w:t>
      </w:r>
    </w:p>
    <w:p w14:paraId="36082AC5" w14:textId="77777777" w:rsidR="007E56D3" w:rsidRPr="0085590F" w:rsidRDefault="007E56D3" w:rsidP="0085590F">
      <w:pPr>
        <w:spacing w:line="360" w:lineRule="auto"/>
        <w:jc w:val="both"/>
        <w:rPr>
          <w:rFonts w:ascii="Century" w:hAnsi="Century" w:cs="Calibri"/>
          <w:sz w:val="20"/>
          <w:szCs w:val="20"/>
        </w:rPr>
      </w:pPr>
      <w:r w:rsidRPr="0085590F">
        <w:rPr>
          <w:rFonts w:ascii="Century" w:hAnsi="Century"/>
          <w:sz w:val="20"/>
          <w:szCs w:val="20"/>
        </w:rPr>
        <w:t>W zakresie zawartych umów, rozchody Gminy Trzciel zaplanowano zgodnie z harmonogramami. W tabeli poniżej spłatę ww. zobowiązań przedstawiono w kolumnie „Zobowiązanie historyczne”.</w:t>
      </w:r>
    </w:p>
    <w:p w14:paraId="725D85D4" w14:textId="3030222F" w:rsidR="007E56D3" w:rsidRDefault="007E56D3" w:rsidP="0085590F">
      <w:pPr>
        <w:spacing w:line="360" w:lineRule="auto"/>
        <w:jc w:val="both"/>
        <w:rPr>
          <w:rFonts w:ascii="Century" w:hAnsi="Century"/>
          <w:sz w:val="20"/>
          <w:szCs w:val="20"/>
        </w:rPr>
      </w:pPr>
      <w:r w:rsidRPr="0085590F">
        <w:rPr>
          <w:rFonts w:ascii="Century" w:hAnsi="Century"/>
          <w:sz w:val="20"/>
          <w:szCs w:val="20"/>
        </w:rPr>
        <w:t>Spłatę zobowiązania planowanego do zaciągnięcia ujęto w latach 2023-2038. W tabeli poniżej spłatę ww. zobowiązań przedstawiono w kolumnie „Zobowiązanie planowane”.</w:t>
      </w:r>
    </w:p>
    <w:p w14:paraId="419C3852" w14:textId="77777777" w:rsidR="00F56244" w:rsidRPr="0085590F" w:rsidRDefault="00F56244" w:rsidP="0085590F">
      <w:pPr>
        <w:spacing w:line="360" w:lineRule="auto"/>
        <w:jc w:val="both"/>
        <w:rPr>
          <w:rFonts w:ascii="Century" w:hAnsi="Century" w:cs="Calibri"/>
          <w:sz w:val="20"/>
          <w:szCs w:val="20"/>
        </w:rPr>
      </w:pPr>
    </w:p>
    <w:p w14:paraId="08E4140C" w14:textId="01726F6D" w:rsidR="007E56D3" w:rsidRPr="0085590F" w:rsidRDefault="007E56D3" w:rsidP="004B5859">
      <w:pPr>
        <w:pStyle w:val="TableCaption"/>
        <w:keepNext/>
        <w:spacing w:line="360" w:lineRule="auto"/>
        <w:rPr>
          <w:rFonts w:ascii="Century" w:hAnsi="Century" w:cs="Calibri"/>
          <w:b/>
          <w:bCs w:val="0"/>
          <w:sz w:val="20"/>
        </w:rPr>
      </w:pPr>
      <w:r w:rsidRPr="0085590F">
        <w:rPr>
          <w:rFonts w:ascii="Century" w:hAnsi="Century"/>
          <w:b/>
          <w:bCs w:val="0"/>
          <w:sz w:val="20"/>
        </w:rPr>
        <w:lastRenderedPageBreak/>
        <w:t xml:space="preserve">Tabela </w:t>
      </w:r>
      <w:r w:rsidR="007A18B6">
        <w:rPr>
          <w:rFonts w:ascii="Century" w:hAnsi="Century"/>
          <w:b/>
          <w:bCs w:val="0"/>
          <w:sz w:val="20"/>
        </w:rPr>
        <w:t>2</w:t>
      </w:r>
      <w:r w:rsidRPr="0085590F">
        <w:rPr>
          <w:rFonts w:ascii="Century" w:hAnsi="Century"/>
          <w:b/>
          <w:bCs w:val="0"/>
          <w:sz w:val="20"/>
        </w:rPr>
        <w:t>. Spłata zaciągniętych i planowanych zobowiązań Gminy Trzciel</w:t>
      </w:r>
    </w:p>
    <w:tbl>
      <w:tblPr>
        <w:tblStyle w:val="Tabela-Prosty1"/>
        <w:tblW w:w="4891" w:type="pct"/>
        <w:tblInd w:w="108" w:type="dxa"/>
        <w:tblCellMar>
          <w:left w:w="108" w:type="dxa"/>
          <w:right w:w="108" w:type="dxa"/>
        </w:tblCellMar>
        <w:tblLook w:val="04A0" w:firstRow="1" w:lastRow="0" w:firstColumn="1" w:lastColumn="0" w:noHBand="0" w:noVBand="1"/>
      </w:tblPr>
      <w:tblGrid>
        <w:gridCol w:w="2212"/>
        <w:gridCol w:w="2317"/>
        <w:gridCol w:w="2319"/>
        <w:gridCol w:w="2224"/>
      </w:tblGrid>
      <w:tr w:rsidR="007E56D3" w:rsidRPr="0085590F" w14:paraId="4491C14D" w14:textId="77777777" w:rsidTr="007A18B6">
        <w:tc>
          <w:tcPr>
            <w:tcW w:w="1219" w:type="pct"/>
            <w:tcMar>
              <w:left w:w="108" w:type="dxa"/>
              <w:right w:w="108" w:type="dxa"/>
            </w:tcMar>
            <w:vAlign w:val="center"/>
          </w:tcPr>
          <w:p w14:paraId="30E1D7EB" w14:textId="77777777" w:rsidR="007E56D3" w:rsidRPr="0085590F" w:rsidRDefault="007E56D3" w:rsidP="0085590F">
            <w:pPr>
              <w:pStyle w:val="TableHeading"/>
              <w:spacing w:line="276" w:lineRule="auto"/>
              <w:jc w:val="center"/>
              <w:rPr>
                <w:rFonts w:ascii="Century" w:hAnsi="Century" w:cs="Calibri"/>
                <w:b/>
                <w:bCs w:val="0"/>
                <w:sz w:val="20"/>
              </w:rPr>
            </w:pPr>
            <w:r w:rsidRPr="0085590F">
              <w:rPr>
                <w:rFonts w:ascii="Century" w:hAnsi="Century"/>
                <w:b/>
                <w:bCs w:val="0"/>
                <w:sz w:val="20"/>
              </w:rPr>
              <w:t>Rok</w:t>
            </w:r>
          </w:p>
        </w:tc>
        <w:tc>
          <w:tcPr>
            <w:tcW w:w="1277" w:type="pct"/>
            <w:tcMar>
              <w:left w:w="108" w:type="dxa"/>
              <w:right w:w="108" w:type="dxa"/>
            </w:tcMar>
            <w:vAlign w:val="center"/>
          </w:tcPr>
          <w:p w14:paraId="632517C1" w14:textId="77777777" w:rsidR="007E56D3" w:rsidRPr="0085590F" w:rsidRDefault="007E56D3" w:rsidP="0085590F">
            <w:pPr>
              <w:pStyle w:val="TableHeading"/>
              <w:spacing w:line="276" w:lineRule="auto"/>
              <w:jc w:val="center"/>
              <w:rPr>
                <w:rFonts w:ascii="Century" w:hAnsi="Century" w:cs="Calibri"/>
                <w:b/>
                <w:bCs w:val="0"/>
                <w:sz w:val="20"/>
              </w:rPr>
            </w:pPr>
            <w:r w:rsidRPr="0085590F">
              <w:rPr>
                <w:rFonts w:ascii="Century" w:hAnsi="Century"/>
                <w:b/>
                <w:bCs w:val="0"/>
                <w:sz w:val="20"/>
              </w:rPr>
              <w:t>Zobowiązanie historyczne [zł]</w:t>
            </w:r>
          </w:p>
        </w:tc>
        <w:tc>
          <w:tcPr>
            <w:tcW w:w="1278" w:type="pct"/>
            <w:tcMar>
              <w:left w:w="108" w:type="dxa"/>
              <w:right w:w="108" w:type="dxa"/>
            </w:tcMar>
            <w:vAlign w:val="center"/>
          </w:tcPr>
          <w:p w14:paraId="210D2899" w14:textId="77777777" w:rsidR="007E56D3" w:rsidRPr="0085590F" w:rsidRDefault="007E56D3" w:rsidP="0085590F">
            <w:pPr>
              <w:pStyle w:val="TableHeading"/>
              <w:spacing w:line="276" w:lineRule="auto"/>
              <w:jc w:val="center"/>
              <w:rPr>
                <w:rFonts w:ascii="Century" w:hAnsi="Century" w:cs="Calibri"/>
                <w:b/>
                <w:bCs w:val="0"/>
                <w:sz w:val="20"/>
              </w:rPr>
            </w:pPr>
            <w:r w:rsidRPr="0085590F">
              <w:rPr>
                <w:rFonts w:ascii="Century" w:hAnsi="Century"/>
                <w:b/>
                <w:bCs w:val="0"/>
                <w:sz w:val="20"/>
              </w:rPr>
              <w:t>Zobowiązanie planowane [zł]</w:t>
            </w:r>
          </w:p>
        </w:tc>
        <w:tc>
          <w:tcPr>
            <w:tcW w:w="1226" w:type="pct"/>
            <w:tcMar>
              <w:left w:w="108" w:type="dxa"/>
              <w:right w:w="108" w:type="dxa"/>
            </w:tcMar>
            <w:vAlign w:val="center"/>
          </w:tcPr>
          <w:p w14:paraId="10DB3520" w14:textId="77777777" w:rsidR="007E56D3" w:rsidRPr="0085590F" w:rsidRDefault="007E56D3" w:rsidP="0085590F">
            <w:pPr>
              <w:pStyle w:val="TableHeading"/>
              <w:spacing w:line="276" w:lineRule="auto"/>
              <w:jc w:val="center"/>
              <w:rPr>
                <w:rFonts w:ascii="Century" w:hAnsi="Century" w:cs="Calibri"/>
                <w:b/>
                <w:bCs w:val="0"/>
                <w:sz w:val="20"/>
              </w:rPr>
            </w:pPr>
            <w:r w:rsidRPr="0085590F">
              <w:rPr>
                <w:rFonts w:ascii="Century" w:hAnsi="Century"/>
                <w:b/>
                <w:bCs w:val="0"/>
                <w:sz w:val="20"/>
              </w:rPr>
              <w:t>Zobowiązania razem [zł]</w:t>
            </w:r>
          </w:p>
        </w:tc>
      </w:tr>
      <w:tr w:rsidR="007E56D3" w:rsidRPr="0085590F" w14:paraId="136E1F0C" w14:textId="77777777" w:rsidTr="007A18B6">
        <w:tc>
          <w:tcPr>
            <w:tcW w:w="1219" w:type="pct"/>
            <w:tcMar>
              <w:left w:w="108" w:type="dxa"/>
              <w:right w:w="108" w:type="dxa"/>
            </w:tcMar>
          </w:tcPr>
          <w:p w14:paraId="26B1750D"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2023</w:t>
            </w:r>
          </w:p>
        </w:tc>
        <w:tc>
          <w:tcPr>
            <w:tcW w:w="1277" w:type="pct"/>
            <w:tcMar>
              <w:left w:w="108" w:type="dxa"/>
              <w:right w:w="108" w:type="dxa"/>
            </w:tcMar>
          </w:tcPr>
          <w:p w14:paraId="00E4318B"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2 786 191,00</w:t>
            </w:r>
          </w:p>
        </w:tc>
        <w:tc>
          <w:tcPr>
            <w:tcW w:w="1278" w:type="pct"/>
            <w:tcMar>
              <w:left w:w="108" w:type="dxa"/>
              <w:right w:w="108" w:type="dxa"/>
            </w:tcMar>
          </w:tcPr>
          <w:p w14:paraId="4D4D4F5A"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3 508 898,00</w:t>
            </w:r>
          </w:p>
        </w:tc>
        <w:tc>
          <w:tcPr>
            <w:tcW w:w="1226" w:type="pct"/>
            <w:tcMar>
              <w:left w:w="108" w:type="dxa"/>
              <w:right w:w="108" w:type="dxa"/>
            </w:tcMar>
          </w:tcPr>
          <w:p w14:paraId="29EA0FD5"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6 295 089,00</w:t>
            </w:r>
          </w:p>
        </w:tc>
      </w:tr>
      <w:tr w:rsidR="007E56D3" w:rsidRPr="0085590F" w14:paraId="36F9C8BB" w14:textId="77777777" w:rsidTr="007A18B6">
        <w:tc>
          <w:tcPr>
            <w:tcW w:w="1219" w:type="pct"/>
            <w:tcMar>
              <w:left w:w="108" w:type="dxa"/>
              <w:right w:w="108" w:type="dxa"/>
            </w:tcMar>
          </w:tcPr>
          <w:p w14:paraId="02A9B979"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2024</w:t>
            </w:r>
          </w:p>
        </w:tc>
        <w:tc>
          <w:tcPr>
            <w:tcW w:w="1277" w:type="pct"/>
            <w:tcMar>
              <w:left w:w="108" w:type="dxa"/>
              <w:right w:w="108" w:type="dxa"/>
            </w:tcMar>
          </w:tcPr>
          <w:p w14:paraId="443D0D94"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986 892,00</w:t>
            </w:r>
          </w:p>
        </w:tc>
        <w:tc>
          <w:tcPr>
            <w:tcW w:w="1278" w:type="pct"/>
            <w:tcMar>
              <w:left w:w="108" w:type="dxa"/>
              <w:right w:w="108" w:type="dxa"/>
            </w:tcMar>
          </w:tcPr>
          <w:p w14:paraId="753ED090"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100 000,00</w:t>
            </w:r>
          </w:p>
        </w:tc>
        <w:tc>
          <w:tcPr>
            <w:tcW w:w="1226" w:type="pct"/>
            <w:tcMar>
              <w:left w:w="108" w:type="dxa"/>
              <w:right w:w="108" w:type="dxa"/>
            </w:tcMar>
          </w:tcPr>
          <w:p w14:paraId="05D42771"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1 086 892,00</w:t>
            </w:r>
          </w:p>
        </w:tc>
      </w:tr>
      <w:tr w:rsidR="007E56D3" w:rsidRPr="0085590F" w14:paraId="14BFA50D" w14:textId="77777777" w:rsidTr="007A18B6">
        <w:tc>
          <w:tcPr>
            <w:tcW w:w="1219" w:type="pct"/>
            <w:tcMar>
              <w:left w:w="108" w:type="dxa"/>
              <w:right w:w="108" w:type="dxa"/>
            </w:tcMar>
          </w:tcPr>
          <w:p w14:paraId="27968DFE"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2025</w:t>
            </w:r>
          </w:p>
        </w:tc>
        <w:tc>
          <w:tcPr>
            <w:tcW w:w="1277" w:type="pct"/>
            <w:tcMar>
              <w:left w:w="108" w:type="dxa"/>
              <w:right w:w="108" w:type="dxa"/>
            </w:tcMar>
          </w:tcPr>
          <w:p w14:paraId="55D21DDE"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1 060 000,00</w:t>
            </w:r>
          </w:p>
        </w:tc>
        <w:tc>
          <w:tcPr>
            <w:tcW w:w="1278" w:type="pct"/>
            <w:tcMar>
              <w:left w:w="108" w:type="dxa"/>
              <w:right w:w="108" w:type="dxa"/>
            </w:tcMar>
          </w:tcPr>
          <w:p w14:paraId="78D0AA42"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100 000,00</w:t>
            </w:r>
          </w:p>
        </w:tc>
        <w:tc>
          <w:tcPr>
            <w:tcW w:w="1226" w:type="pct"/>
            <w:tcMar>
              <w:left w:w="108" w:type="dxa"/>
              <w:right w:w="108" w:type="dxa"/>
            </w:tcMar>
          </w:tcPr>
          <w:p w14:paraId="7820934B"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1 160 000,00</w:t>
            </w:r>
          </w:p>
        </w:tc>
      </w:tr>
      <w:tr w:rsidR="007E56D3" w:rsidRPr="0085590F" w14:paraId="128B760A" w14:textId="77777777" w:rsidTr="007A18B6">
        <w:tc>
          <w:tcPr>
            <w:tcW w:w="1219" w:type="pct"/>
            <w:tcMar>
              <w:left w:w="108" w:type="dxa"/>
              <w:right w:w="108" w:type="dxa"/>
            </w:tcMar>
          </w:tcPr>
          <w:p w14:paraId="172BA07E"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2026</w:t>
            </w:r>
          </w:p>
        </w:tc>
        <w:tc>
          <w:tcPr>
            <w:tcW w:w="1277" w:type="pct"/>
            <w:tcMar>
              <w:left w:w="108" w:type="dxa"/>
              <w:right w:w="108" w:type="dxa"/>
            </w:tcMar>
          </w:tcPr>
          <w:p w14:paraId="7FB8C129"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1 060 000,00</w:t>
            </w:r>
          </w:p>
        </w:tc>
        <w:tc>
          <w:tcPr>
            <w:tcW w:w="1278" w:type="pct"/>
            <w:tcMar>
              <w:left w:w="108" w:type="dxa"/>
              <w:right w:w="108" w:type="dxa"/>
            </w:tcMar>
          </w:tcPr>
          <w:p w14:paraId="6DD7355B"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200 000,00</w:t>
            </w:r>
          </w:p>
        </w:tc>
        <w:tc>
          <w:tcPr>
            <w:tcW w:w="1226" w:type="pct"/>
            <w:tcMar>
              <w:left w:w="108" w:type="dxa"/>
              <w:right w:w="108" w:type="dxa"/>
            </w:tcMar>
          </w:tcPr>
          <w:p w14:paraId="7426E0D0"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1 260 000,00</w:t>
            </w:r>
          </w:p>
        </w:tc>
      </w:tr>
      <w:tr w:rsidR="007E56D3" w:rsidRPr="0085590F" w14:paraId="493155F5" w14:textId="77777777" w:rsidTr="007A18B6">
        <w:tc>
          <w:tcPr>
            <w:tcW w:w="1219" w:type="pct"/>
            <w:tcMar>
              <w:left w:w="108" w:type="dxa"/>
              <w:right w:w="108" w:type="dxa"/>
            </w:tcMar>
          </w:tcPr>
          <w:p w14:paraId="0B3C1575"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2027</w:t>
            </w:r>
          </w:p>
        </w:tc>
        <w:tc>
          <w:tcPr>
            <w:tcW w:w="1277" w:type="pct"/>
            <w:tcMar>
              <w:left w:w="108" w:type="dxa"/>
              <w:right w:w="108" w:type="dxa"/>
            </w:tcMar>
          </w:tcPr>
          <w:p w14:paraId="1B0FE958"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1 110 000,00</w:t>
            </w:r>
          </w:p>
        </w:tc>
        <w:tc>
          <w:tcPr>
            <w:tcW w:w="1278" w:type="pct"/>
            <w:tcMar>
              <w:left w:w="108" w:type="dxa"/>
              <w:right w:w="108" w:type="dxa"/>
            </w:tcMar>
          </w:tcPr>
          <w:p w14:paraId="4C77A584"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200 000,00</w:t>
            </w:r>
          </w:p>
        </w:tc>
        <w:tc>
          <w:tcPr>
            <w:tcW w:w="1226" w:type="pct"/>
            <w:tcMar>
              <w:left w:w="108" w:type="dxa"/>
              <w:right w:w="108" w:type="dxa"/>
            </w:tcMar>
          </w:tcPr>
          <w:p w14:paraId="25159CE9"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1 310 000,00</w:t>
            </w:r>
          </w:p>
        </w:tc>
      </w:tr>
      <w:tr w:rsidR="007E56D3" w:rsidRPr="0085590F" w14:paraId="419BA2EC" w14:textId="77777777" w:rsidTr="007A18B6">
        <w:tc>
          <w:tcPr>
            <w:tcW w:w="1219" w:type="pct"/>
            <w:tcMar>
              <w:left w:w="108" w:type="dxa"/>
              <w:right w:w="108" w:type="dxa"/>
            </w:tcMar>
          </w:tcPr>
          <w:p w14:paraId="04BB8481"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2028</w:t>
            </w:r>
          </w:p>
        </w:tc>
        <w:tc>
          <w:tcPr>
            <w:tcW w:w="1277" w:type="pct"/>
            <w:tcMar>
              <w:left w:w="108" w:type="dxa"/>
              <w:right w:w="108" w:type="dxa"/>
            </w:tcMar>
          </w:tcPr>
          <w:p w14:paraId="28D6FCF1"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1 160 000,00</w:t>
            </w:r>
          </w:p>
        </w:tc>
        <w:tc>
          <w:tcPr>
            <w:tcW w:w="1278" w:type="pct"/>
            <w:tcMar>
              <w:left w:w="108" w:type="dxa"/>
              <w:right w:w="108" w:type="dxa"/>
            </w:tcMar>
          </w:tcPr>
          <w:p w14:paraId="5AB2663E"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200 000,00</w:t>
            </w:r>
          </w:p>
        </w:tc>
        <w:tc>
          <w:tcPr>
            <w:tcW w:w="1226" w:type="pct"/>
            <w:tcMar>
              <w:left w:w="108" w:type="dxa"/>
              <w:right w:w="108" w:type="dxa"/>
            </w:tcMar>
          </w:tcPr>
          <w:p w14:paraId="09093750"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1 360 000,00</w:t>
            </w:r>
          </w:p>
        </w:tc>
      </w:tr>
      <w:tr w:rsidR="007E56D3" w:rsidRPr="0085590F" w14:paraId="0851ED65" w14:textId="77777777" w:rsidTr="007A18B6">
        <w:tc>
          <w:tcPr>
            <w:tcW w:w="1219" w:type="pct"/>
            <w:tcMar>
              <w:left w:w="108" w:type="dxa"/>
              <w:right w:w="108" w:type="dxa"/>
            </w:tcMar>
          </w:tcPr>
          <w:p w14:paraId="0AC60DAE"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2029</w:t>
            </w:r>
          </w:p>
        </w:tc>
        <w:tc>
          <w:tcPr>
            <w:tcW w:w="1277" w:type="pct"/>
            <w:tcMar>
              <w:left w:w="108" w:type="dxa"/>
              <w:right w:w="108" w:type="dxa"/>
            </w:tcMar>
          </w:tcPr>
          <w:p w14:paraId="6B078CCC"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1 160 000,00</w:t>
            </w:r>
          </w:p>
        </w:tc>
        <w:tc>
          <w:tcPr>
            <w:tcW w:w="1278" w:type="pct"/>
            <w:tcMar>
              <w:left w:w="108" w:type="dxa"/>
              <w:right w:w="108" w:type="dxa"/>
            </w:tcMar>
          </w:tcPr>
          <w:p w14:paraId="1BB15DFB"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100 000,00</w:t>
            </w:r>
          </w:p>
        </w:tc>
        <w:tc>
          <w:tcPr>
            <w:tcW w:w="1226" w:type="pct"/>
            <w:tcMar>
              <w:left w:w="108" w:type="dxa"/>
              <w:right w:w="108" w:type="dxa"/>
            </w:tcMar>
          </w:tcPr>
          <w:p w14:paraId="7E6F2100"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1 260 000,00</w:t>
            </w:r>
          </w:p>
        </w:tc>
      </w:tr>
      <w:tr w:rsidR="007E56D3" w:rsidRPr="0085590F" w14:paraId="684748D4" w14:textId="77777777" w:rsidTr="007A18B6">
        <w:tc>
          <w:tcPr>
            <w:tcW w:w="1219" w:type="pct"/>
            <w:tcMar>
              <w:left w:w="108" w:type="dxa"/>
              <w:right w:w="108" w:type="dxa"/>
            </w:tcMar>
          </w:tcPr>
          <w:p w14:paraId="4A0D00DA"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2030</w:t>
            </w:r>
          </w:p>
        </w:tc>
        <w:tc>
          <w:tcPr>
            <w:tcW w:w="1277" w:type="pct"/>
            <w:tcMar>
              <w:left w:w="108" w:type="dxa"/>
              <w:right w:w="108" w:type="dxa"/>
            </w:tcMar>
          </w:tcPr>
          <w:p w14:paraId="6FE677C5"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1 000 000,00</w:t>
            </w:r>
          </w:p>
        </w:tc>
        <w:tc>
          <w:tcPr>
            <w:tcW w:w="1278" w:type="pct"/>
            <w:tcMar>
              <w:left w:w="108" w:type="dxa"/>
              <w:right w:w="108" w:type="dxa"/>
            </w:tcMar>
          </w:tcPr>
          <w:p w14:paraId="778DB2D4"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300 000,00</w:t>
            </w:r>
          </w:p>
        </w:tc>
        <w:tc>
          <w:tcPr>
            <w:tcW w:w="1226" w:type="pct"/>
            <w:tcMar>
              <w:left w:w="108" w:type="dxa"/>
              <w:right w:w="108" w:type="dxa"/>
            </w:tcMar>
          </w:tcPr>
          <w:p w14:paraId="12126F5F"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1 300 000,00</w:t>
            </w:r>
          </w:p>
        </w:tc>
      </w:tr>
      <w:tr w:rsidR="007E56D3" w:rsidRPr="0085590F" w14:paraId="10A527EF" w14:textId="77777777" w:rsidTr="007A18B6">
        <w:tc>
          <w:tcPr>
            <w:tcW w:w="1219" w:type="pct"/>
            <w:tcMar>
              <w:left w:w="108" w:type="dxa"/>
              <w:right w:w="108" w:type="dxa"/>
            </w:tcMar>
          </w:tcPr>
          <w:p w14:paraId="11C1EB7F"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2031</w:t>
            </w:r>
          </w:p>
        </w:tc>
        <w:tc>
          <w:tcPr>
            <w:tcW w:w="1277" w:type="pct"/>
            <w:tcMar>
              <w:left w:w="108" w:type="dxa"/>
              <w:right w:w="108" w:type="dxa"/>
            </w:tcMar>
          </w:tcPr>
          <w:p w14:paraId="577431FD"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1 000 000,00</w:t>
            </w:r>
          </w:p>
        </w:tc>
        <w:tc>
          <w:tcPr>
            <w:tcW w:w="1278" w:type="pct"/>
            <w:tcMar>
              <w:left w:w="108" w:type="dxa"/>
              <w:right w:w="108" w:type="dxa"/>
            </w:tcMar>
          </w:tcPr>
          <w:p w14:paraId="1FAEA25C"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c>
          <w:tcPr>
            <w:tcW w:w="1226" w:type="pct"/>
            <w:tcMar>
              <w:left w:w="108" w:type="dxa"/>
              <w:right w:w="108" w:type="dxa"/>
            </w:tcMar>
          </w:tcPr>
          <w:p w14:paraId="09976909"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1 600 000,00</w:t>
            </w:r>
          </w:p>
        </w:tc>
      </w:tr>
      <w:tr w:rsidR="007E56D3" w:rsidRPr="0085590F" w14:paraId="59510A15" w14:textId="77777777" w:rsidTr="007A18B6">
        <w:tc>
          <w:tcPr>
            <w:tcW w:w="1219" w:type="pct"/>
            <w:tcMar>
              <w:left w:w="108" w:type="dxa"/>
              <w:right w:w="108" w:type="dxa"/>
            </w:tcMar>
          </w:tcPr>
          <w:p w14:paraId="2AF9AF00"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2032</w:t>
            </w:r>
          </w:p>
        </w:tc>
        <w:tc>
          <w:tcPr>
            <w:tcW w:w="1277" w:type="pct"/>
            <w:tcMar>
              <w:left w:w="108" w:type="dxa"/>
              <w:right w:w="108" w:type="dxa"/>
            </w:tcMar>
          </w:tcPr>
          <w:p w14:paraId="47BB6F29"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0,00</w:t>
            </w:r>
          </w:p>
        </w:tc>
        <w:tc>
          <w:tcPr>
            <w:tcW w:w="1278" w:type="pct"/>
            <w:tcMar>
              <w:left w:w="108" w:type="dxa"/>
              <w:right w:w="108" w:type="dxa"/>
            </w:tcMar>
          </w:tcPr>
          <w:p w14:paraId="7CA461C4"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c>
          <w:tcPr>
            <w:tcW w:w="1226" w:type="pct"/>
            <w:tcMar>
              <w:left w:w="108" w:type="dxa"/>
              <w:right w:w="108" w:type="dxa"/>
            </w:tcMar>
          </w:tcPr>
          <w:p w14:paraId="49478F4B"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r>
      <w:tr w:rsidR="007E56D3" w:rsidRPr="0085590F" w14:paraId="01BE7360" w14:textId="77777777" w:rsidTr="007A18B6">
        <w:tc>
          <w:tcPr>
            <w:tcW w:w="1219" w:type="pct"/>
            <w:tcMar>
              <w:left w:w="108" w:type="dxa"/>
              <w:right w:w="108" w:type="dxa"/>
            </w:tcMar>
          </w:tcPr>
          <w:p w14:paraId="14FCBFAB"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2033</w:t>
            </w:r>
          </w:p>
        </w:tc>
        <w:tc>
          <w:tcPr>
            <w:tcW w:w="1277" w:type="pct"/>
            <w:tcMar>
              <w:left w:w="108" w:type="dxa"/>
              <w:right w:w="108" w:type="dxa"/>
            </w:tcMar>
          </w:tcPr>
          <w:p w14:paraId="3F51B626"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0,00</w:t>
            </w:r>
          </w:p>
        </w:tc>
        <w:tc>
          <w:tcPr>
            <w:tcW w:w="1278" w:type="pct"/>
            <w:tcMar>
              <w:left w:w="108" w:type="dxa"/>
              <w:right w:w="108" w:type="dxa"/>
            </w:tcMar>
          </w:tcPr>
          <w:p w14:paraId="3CC59E08"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c>
          <w:tcPr>
            <w:tcW w:w="1226" w:type="pct"/>
            <w:tcMar>
              <w:left w:w="108" w:type="dxa"/>
              <w:right w:w="108" w:type="dxa"/>
            </w:tcMar>
          </w:tcPr>
          <w:p w14:paraId="044C64AA"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r>
      <w:tr w:rsidR="007E56D3" w:rsidRPr="0085590F" w14:paraId="5A0F5BB3" w14:textId="77777777" w:rsidTr="007A18B6">
        <w:tc>
          <w:tcPr>
            <w:tcW w:w="1219" w:type="pct"/>
            <w:tcMar>
              <w:left w:w="108" w:type="dxa"/>
              <w:right w:w="108" w:type="dxa"/>
            </w:tcMar>
          </w:tcPr>
          <w:p w14:paraId="025CE466"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2034</w:t>
            </w:r>
          </w:p>
        </w:tc>
        <w:tc>
          <w:tcPr>
            <w:tcW w:w="1277" w:type="pct"/>
            <w:tcMar>
              <w:left w:w="108" w:type="dxa"/>
              <w:right w:w="108" w:type="dxa"/>
            </w:tcMar>
          </w:tcPr>
          <w:p w14:paraId="40B2CB37"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0,00</w:t>
            </w:r>
          </w:p>
        </w:tc>
        <w:tc>
          <w:tcPr>
            <w:tcW w:w="1278" w:type="pct"/>
            <w:tcMar>
              <w:left w:w="108" w:type="dxa"/>
              <w:right w:w="108" w:type="dxa"/>
            </w:tcMar>
          </w:tcPr>
          <w:p w14:paraId="262AC343"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c>
          <w:tcPr>
            <w:tcW w:w="1226" w:type="pct"/>
            <w:tcMar>
              <w:left w:w="108" w:type="dxa"/>
              <w:right w:w="108" w:type="dxa"/>
            </w:tcMar>
          </w:tcPr>
          <w:p w14:paraId="51919BB5"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r>
      <w:tr w:rsidR="007E56D3" w:rsidRPr="0085590F" w14:paraId="03FE6EDF" w14:textId="77777777" w:rsidTr="007A18B6">
        <w:tc>
          <w:tcPr>
            <w:tcW w:w="1219" w:type="pct"/>
            <w:tcMar>
              <w:left w:w="108" w:type="dxa"/>
              <w:right w:w="108" w:type="dxa"/>
            </w:tcMar>
          </w:tcPr>
          <w:p w14:paraId="1A3DBFEA"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2035</w:t>
            </w:r>
          </w:p>
        </w:tc>
        <w:tc>
          <w:tcPr>
            <w:tcW w:w="1277" w:type="pct"/>
            <w:tcMar>
              <w:left w:w="108" w:type="dxa"/>
              <w:right w:w="108" w:type="dxa"/>
            </w:tcMar>
          </w:tcPr>
          <w:p w14:paraId="4DF83E56"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0,00</w:t>
            </w:r>
          </w:p>
        </w:tc>
        <w:tc>
          <w:tcPr>
            <w:tcW w:w="1278" w:type="pct"/>
            <w:tcMar>
              <w:left w:w="108" w:type="dxa"/>
              <w:right w:w="108" w:type="dxa"/>
            </w:tcMar>
          </w:tcPr>
          <w:p w14:paraId="477C4A46"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c>
          <w:tcPr>
            <w:tcW w:w="1226" w:type="pct"/>
            <w:tcMar>
              <w:left w:w="108" w:type="dxa"/>
              <w:right w:w="108" w:type="dxa"/>
            </w:tcMar>
          </w:tcPr>
          <w:p w14:paraId="063A41E4"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r>
      <w:tr w:rsidR="007E56D3" w:rsidRPr="0085590F" w14:paraId="1D3601C0" w14:textId="77777777" w:rsidTr="007A18B6">
        <w:tc>
          <w:tcPr>
            <w:tcW w:w="1219" w:type="pct"/>
            <w:tcMar>
              <w:left w:w="108" w:type="dxa"/>
              <w:right w:w="108" w:type="dxa"/>
            </w:tcMar>
          </w:tcPr>
          <w:p w14:paraId="52F0067A"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2036</w:t>
            </w:r>
          </w:p>
        </w:tc>
        <w:tc>
          <w:tcPr>
            <w:tcW w:w="1277" w:type="pct"/>
            <w:tcMar>
              <w:left w:w="108" w:type="dxa"/>
              <w:right w:w="108" w:type="dxa"/>
            </w:tcMar>
          </w:tcPr>
          <w:p w14:paraId="5D354944"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0,00</w:t>
            </w:r>
          </w:p>
        </w:tc>
        <w:tc>
          <w:tcPr>
            <w:tcW w:w="1278" w:type="pct"/>
            <w:tcMar>
              <w:left w:w="108" w:type="dxa"/>
              <w:right w:w="108" w:type="dxa"/>
            </w:tcMar>
          </w:tcPr>
          <w:p w14:paraId="60489276"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c>
          <w:tcPr>
            <w:tcW w:w="1226" w:type="pct"/>
            <w:tcMar>
              <w:left w:w="108" w:type="dxa"/>
              <w:right w:w="108" w:type="dxa"/>
            </w:tcMar>
          </w:tcPr>
          <w:p w14:paraId="5B27B41F"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r>
      <w:tr w:rsidR="007E56D3" w:rsidRPr="0085590F" w14:paraId="1C1330D0" w14:textId="77777777" w:rsidTr="007A18B6">
        <w:tc>
          <w:tcPr>
            <w:tcW w:w="1219" w:type="pct"/>
            <w:tcMar>
              <w:left w:w="108" w:type="dxa"/>
              <w:right w:w="108" w:type="dxa"/>
            </w:tcMar>
          </w:tcPr>
          <w:p w14:paraId="3BEDD939"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2037</w:t>
            </w:r>
          </w:p>
        </w:tc>
        <w:tc>
          <w:tcPr>
            <w:tcW w:w="1277" w:type="pct"/>
            <w:tcMar>
              <w:left w:w="108" w:type="dxa"/>
              <w:right w:w="108" w:type="dxa"/>
            </w:tcMar>
          </w:tcPr>
          <w:p w14:paraId="2EB33B92"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0,00</w:t>
            </w:r>
          </w:p>
        </w:tc>
        <w:tc>
          <w:tcPr>
            <w:tcW w:w="1278" w:type="pct"/>
            <w:tcMar>
              <w:left w:w="108" w:type="dxa"/>
              <w:right w:w="108" w:type="dxa"/>
            </w:tcMar>
          </w:tcPr>
          <w:p w14:paraId="2D011E0A"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c>
          <w:tcPr>
            <w:tcW w:w="1226" w:type="pct"/>
            <w:tcMar>
              <w:left w:w="108" w:type="dxa"/>
              <w:right w:w="108" w:type="dxa"/>
            </w:tcMar>
          </w:tcPr>
          <w:p w14:paraId="1EEA42D9"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r>
      <w:tr w:rsidR="007E56D3" w:rsidRPr="0085590F" w14:paraId="0CC85204" w14:textId="77777777" w:rsidTr="007A18B6">
        <w:tc>
          <w:tcPr>
            <w:tcW w:w="1219" w:type="pct"/>
            <w:tcMar>
              <w:left w:w="108" w:type="dxa"/>
              <w:right w:w="108" w:type="dxa"/>
            </w:tcMar>
          </w:tcPr>
          <w:p w14:paraId="274454F6" w14:textId="77777777" w:rsidR="007E56D3" w:rsidRPr="0085590F" w:rsidRDefault="007E56D3" w:rsidP="0085590F">
            <w:pPr>
              <w:pStyle w:val="TableCell"/>
              <w:spacing w:line="276" w:lineRule="auto"/>
              <w:jc w:val="center"/>
              <w:rPr>
                <w:rFonts w:ascii="Century" w:hAnsi="Century" w:cs="Calibri"/>
                <w:sz w:val="20"/>
              </w:rPr>
            </w:pPr>
            <w:r w:rsidRPr="0085590F">
              <w:rPr>
                <w:rFonts w:ascii="Century" w:hAnsi="Century"/>
                <w:sz w:val="20"/>
              </w:rPr>
              <w:t>2038</w:t>
            </w:r>
          </w:p>
        </w:tc>
        <w:tc>
          <w:tcPr>
            <w:tcW w:w="1277" w:type="pct"/>
            <w:tcMar>
              <w:left w:w="108" w:type="dxa"/>
              <w:right w:w="108" w:type="dxa"/>
            </w:tcMar>
          </w:tcPr>
          <w:p w14:paraId="037C1A18"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0,00</w:t>
            </w:r>
          </w:p>
        </w:tc>
        <w:tc>
          <w:tcPr>
            <w:tcW w:w="1278" w:type="pct"/>
            <w:tcMar>
              <w:left w:w="108" w:type="dxa"/>
              <w:right w:w="108" w:type="dxa"/>
            </w:tcMar>
          </w:tcPr>
          <w:p w14:paraId="4B01AB16"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c>
          <w:tcPr>
            <w:tcW w:w="1226" w:type="pct"/>
            <w:tcMar>
              <w:left w:w="108" w:type="dxa"/>
              <w:right w:w="108" w:type="dxa"/>
            </w:tcMar>
          </w:tcPr>
          <w:p w14:paraId="1A0D56D1" w14:textId="77777777" w:rsidR="007E56D3" w:rsidRPr="0085590F" w:rsidRDefault="007E56D3" w:rsidP="0085590F">
            <w:pPr>
              <w:pStyle w:val="TableCell"/>
              <w:spacing w:line="276" w:lineRule="auto"/>
              <w:jc w:val="right"/>
              <w:rPr>
                <w:rFonts w:ascii="Century" w:hAnsi="Century" w:cs="Calibri"/>
                <w:sz w:val="20"/>
              </w:rPr>
            </w:pPr>
            <w:r w:rsidRPr="0085590F">
              <w:rPr>
                <w:rFonts w:ascii="Century" w:hAnsi="Century"/>
                <w:sz w:val="20"/>
              </w:rPr>
              <w:t>600 000,00</w:t>
            </w:r>
          </w:p>
        </w:tc>
      </w:tr>
    </w:tbl>
    <w:p w14:paraId="05502C6E" w14:textId="5A6C5E09" w:rsidR="007E56D3" w:rsidRPr="0085590F" w:rsidRDefault="007E56D3" w:rsidP="00091783">
      <w:pPr>
        <w:spacing w:before="240" w:line="360" w:lineRule="auto"/>
        <w:jc w:val="both"/>
        <w:rPr>
          <w:rFonts w:ascii="Century" w:hAnsi="Century" w:cs="Calibri"/>
          <w:sz w:val="20"/>
          <w:szCs w:val="20"/>
        </w:rPr>
      </w:pPr>
      <w:r w:rsidRPr="0085590F">
        <w:rPr>
          <w:rFonts w:ascii="Century" w:hAnsi="Century"/>
          <w:sz w:val="20"/>
          <w:szCs w:val="20"/>
        </w:rPr>
        <w:t>Zgodnie z ustawą o finansach publicznych Gmina Trzciel planuje wyłączenia z limitu spłat zobowiązań, oddziaływujące tym samym na wskaźnik faktycznej obsługi zadłużenia, co przedstawia poniższa tabela.</w:t>
      </w:r>
    </w:p>
    <w:p w14:paraId="6FC51C26" w14:textId="33C6B630" w:rsidR="007E56D3" w:rsidRPr="0085590F" w:rsidRDefault="007E56D3" w:rsidP="0085590F">
      <w:pPr>
        <w:pStyle w:val="TableCaption"/>
        <w:keepNext/>
        <w:spacing w:line="360" w:lineRule="auto"/>
        <w:rPr>
          <w:rFonts w:ascii="Century" w:hAnsi="Century" w:cs="Calibri"/>
          <w:b/>
          <w:bCs w:val="0"/>
          <w:sz w:val="20"/>
        </w:rPr>
      </w:pPr>
      <w:r w:rsidRPr="0085590F">
        <w:rPr>
          <w:rFonts w:ascii="Century" w:hAnsi="Century"/>
          <w:b/>
          <w:bCs w:val="0"/>
          <w:sz w:val="20"/>
        </w:rPr>
        <w:t xml:space="preserve">Tabela </w:t>
      </w:r>
      <w:r w:rsidR="007A18B6">
        <w:rPr>
          <w:rFonts w:ascii="Century" w:hAnsi="Century"/>
          <w:b/>
          <w:bCs w:val="0"/>
          <w:sz w:val="20"/>
        </w:rPr>
        <w:t>3</w:t>
      </w:r>
      <w:r w:rsidRPr="0085590F">
        <w:rPr>
          <w:rFonts w:ascii="Century" w:hAnsi="Century"/>
          <w:b/>
          <w:bCs w:val="0"/>
          <w:sz w:val="20"/>
        </w:rPr>
        <w:t>. Wykaz wyłączeń od zobowiązań Gminy Trzciel</w:t>
      </w:r>
    </w:p>
    <w:tbl>
      <w:tblPr>
        <w:tblStyle w:val="Tabela-Prosty1"/>
        <w:tblW w:w="4891" w:type="pct"/>
        <w:tblInd w:w="108" w:type="dxa"/>
        <w:tblCellMar>
          <w:left w:w="108" w:type="dxa"/>
          <w:right w:w="108" w:type="dxa"/>
        </w:tblCellMar>
        <w:tblLook w:val="04A0" w:firstRow="1" w:lastRow="0" w:firstColumn="1" w:lastColumn="0" w:noHBand="0" w:noVBand="1"/>
      </w:tblPr>
      <w:tblGrid>
        <w:gridCol w:w="2983"/>
        <w:gridCol w:w="3092"/>
        <w:gridCol w:w="2997"/>
      </w:tblGrid>
      <w:tr w:rsidR="007E56D3" w:rsidRPr="0085590F" w14:paraId="6F2AE982" w14:textId="77777777" w:rsidTr="007A18B6">
        <w:tc>
          <w:tcPr>
            <w:tcW w:w="1644" w:type="pct"/>
            <w:tcMar>
              <w:left w:w="108" w:type="dxa"/>
              <w:right w:w="108" w:type="dxa"/>
            </w:tcMar>
            <w:vAlign w:val="center"/>
          </w:tcPr>
          <w:p w14:paraId="77D5D3BD" w14:textId="77777777" w:rsidR="007E56D3" w:rsidRPr="0085590F" w:rsidRDefault="007E56D3" w:rsidP="007A18B6">
            <w:pPr>
              <w:pStyle w:val="TableHeading"/>
              <w:spacing w:line="276" w:lineRule="auto"/>
              <w:jc w:val="center"/>
              <w:rPr>
                <w:rFonts w:ascii="Century" w:hAnsi="Century" w:cs="Calibri"/>
                <w:b/>
                <w:bCs w:val="0"/>
                <w:sz w:val="20"/>
              </w:rPr>
            </w:pPr>
            <w:r w:rsidRPr="0085590F">
              <w:rPr>
                <w:rFonts w:ascii="Century" w:hAnsi="Century"/>
                <w:b/>
                <w:bCs w:val="0"/>
                <w:sz w:val="20"/>
              </w:rPr>
              <w:t>Rok</w:t>
            </w:r>
          </w:p>
        </w:tc>
        <w:tc>
          <w:tcPr>
            <w:tcW w:w="1704" w:type="pct"/>
            <w:tcMar>
              <w:left w:w="108" w:type="dxa"/>
              <w:right w:w="108" w:type="dxa"/>
            </w:tcMar>
            <w:vAlign w:val="center"/>
          </w:tcPr>
          <w:p w14:paraId="6128F644" w14:textId="77777777" w:rsidR="007E56D3" w:rsidRPr="0085590F" w:rsidRDefault="007E56D3" w:rsidP="007A18B6">
            <w:pPr>
              <w:pStyle w:val="TableHeading"/>
              <w:spacing w:line="276" w:lineRule="auto"/>
              <w:jc w:val="center"/>
              <w:rPr>
                <w:rFonts w:ascii="Century" w:hAnsi="Century" w:cs="Calibri"/>
                <w:b/>
                <w:bCs w:val="0"/>
                <w:sz w:val="20"/>
              </w:rPr>
            </w:pPr>
            <w:r w:rsidRPr="0085590F">
              <w:rPr>
                <w:rFonts w:ascii="Century" w:hAnsi="Century"/>
                <w:b/>
                <w:bCs w:val="0"/>
                <w:sz w:val="20"/>
              </w:rPr>
              <w:t>Prefinansowanie* [zł]</w:t>
            </w:r>
          </w:p>
        </w:tc>
        <w:tc>
          <w:tcPr>
            <w:tcW w:w="1653" w:type="pct"/>
            <w:tcMar>
              <w:left w:w="108" w:type="dxa"/>
              <w:right w:w="108" w:type="dxa"/>
            </w:tcMar>
            <w:vAlign w:val="center"/>
          </w:tcPr>
          <w:p w14:paraId="7B7C6B3C" w14:textId="606299A1" w:rsidR="007E56D3" w:rsidRPr="0085590F" w:rsidRDefault="007E56D3" w:rsidP="007A18B6">
            <w:pPr>
              <w:pStyle w:val="TableHeading"/>
              <w:spacing w:line="276" w:lineRule="auto"/>
              <w:jc w:val="center"/>
              <w:rPr>
                <w:rFonts w:ascii="Century" w:hAnsi="Century" w:cs="Calibri"/>
                <w:b/>
                <w:bCs w:val="0"/>
                <w:sz w:val="20"/>
              </w:rPr>
            </w:pPr>
            <w:r w:rsidRPr="0085590F">
              <w:rPr>
                <w:rFonts w:ascii="Century" w:hAnsi="Century"/>
                <w:b/>
                <w:bCs w:val="0"/>
                <w:sz w:val="20"/>
              </w:rPr>
              <w:t>Wkład własny (50%/60%)</w:t>
            </w:r>
            <w:r w:rsidR="00423B5D">
              <w:rPr>
                <w:rFonts w:ascii="Century" w:hAnsi="Century"/>
                <w:b/>
                <w:bCs w:val="0"/>
                <w:sz w:val="20"/>
              </w:rPr>
              <w:t xml:space="preserve"> </w:t>
            </w:r>
            <w:r w:rsidRPr="0085590F">
              <w:rPr>
                <w:rFonts w:ascii="Century" w:hAnsi="Century"/>
                <w:b/>
                <w:bCs w:val="0"/>
                <w:sz w:val="20"/>
              </w:rPr>
              <w:t>** [zł]</w:t>
            </w:r>
          </w:p>
        </w:tc>
      </w:tr>
      <w:tr w:rsidR="007E56D3" w:rsidRPr="0085590F" w14:paraId="0909449F" w14:textId="77777777" w:rsidTr="007A18B6">
        <w:tc>
          <w:tcPr>
            <w:tcW w:w="1644" w:type="pct"/>
            <w:tcMar>
              <w:left w:w="108" w:type="dxa"/>
              <w:right w:w="108" w:type="dxa"/>
            </w:tcMar>
          </w:tcPr>
          <w:p w14:paraId="5C4D2539"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2023</w:t>
            </w:r>
          </w:p>
        </w:tc>
        <w:tc>
          <w:tcPr>
            <w:tcW w:w="1704" w:type="pct"/>
            <w:tcMar>
              <w:left w:w="108" w:type="dxa"/>
              <w:right w:w="108" w:type="dxa"/>
            </w:tcMar>
          </w:tcPr>
          <w:p w14:paraId="1699E56F"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5 350 286,00</w:t>
            </w:r>
          </w:p>
        </w:tc>
        <w:tc>
          <w:tcPr>
            <w:tcW w:w="1653" w:type="pct"/>
            <w:tcMar>
              <w:left w:w="108" w:type="dxa"/>
              <w:right w:w="108" w:type="dxa"/>
            </w:tcMar>
          </w:tcPr>
          <w:p w14:paraId="2903921E"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123 167,30</w:t>
            </w:r>
          </w:p>
        </w:tc>
      </w:tr>
      <w:tr w:rsidR="007E56D3" w:rsidRPr="0085590F" w14:paraId="4D45C3A9" w14:textId="77777777" w:rsidTr="007A18B6">
        <w:tc>
          <w:tcPr>
            <w:tcW w:w="1644" w:type="pct"/>
            <w:tcMar>
              <w:left w:w="108" w:type="dxa"/>
              <w:right w:w="108" w:type="dxa"/>
            </w:tcMar>
          </w:tcPr>
          <w:p w14:paraId="439A3252"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2024</w:t>
            </w:r>
          </w:p>
        </w:tc>
        <w:tc>
          <w:tcPr>
            <w:tcW w:w="1704" w:type="pct"/>
            <w:tcMar>
              <w:left w:w="108" w:type="dxa"/>
              <w:right w:w="108" w:type="dxa"/>
            </w:tcMar>
          </w:tcPr>
          <w:p w14:paraId="0D89543A"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0,00</w:t>
            </w:r>
          </w:p>
        </w:tc>
        <w:tc>
          <w:tcPr>
            <w:tcW w:w="1653" w:type="pct"/>
            <w:tcMar>
              <w:left w:w="108" w:type="dxa"/>
              <w:right w:w="108" w:type="dxa"/>
            </w:tcMar>
          </w:tcPr>
          <w:p w14:paraId="6870DFC7"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146 920,90</w:t>
            </w:r>
          </w:p>
        </w:tc>
      </w:tr>
      <w:tr w:rsidR="007E56D3" w:rsidRPr="0085590F" w14:paraId="7D157A8F" w14:textId="77777777" w:rsidTr="007A18B6">
        <w:tc>
          <w:tcPr>
            <w:tcW w:w="1644" w:type="pct"/>
            <w:tcMar>
              <w:left w:w="108" w:type="dxa"/>
              <w:right w:w="108" w:type="dxa"/>
            </w:tcMar>
          </w:tcPr>
          <w:p w14:paraId="08701998"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2025</w:t>
            </w:r>
          </w:p>
        </w:tc>
        <w:tc>
          <w:tcPr>
            <w:tcW w:w="1704" w:type="pct"/>
            <w:tcMar>
              <w:left w:w="108" w:type="dxa"/>
              <w:right w:w="108" w:type="dxa"/>
            </w:tcMar>
          </w:tcPr>
          <w:p w14:paraId="4F927E9C"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0,00</w:t>
            </w:r>
          </w:p>
        </w:tc>
        <w:tc>
          <w:tcPr>
            <w:tcW w:w="1653" w:type="pct"/>
            <w:tcMar>
              <w:left w:w="108" w:type="dxa"/>
              <w:right w:w="108" w:type="dxa"/>
            </w:tcMar>
          </w:tcPr>
          <w:p w14:paraId="42100ED3"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334 478,38</w:t>
            </w:r>
          </w:p>
        </w:tc>
      </w:tr>
      <w:tr w:rsidR="007E56D3" w:rsidRPr="0085590F" w14:paraId="66E28D69" w14:textId="77777777" w:rsidTr="007A18B6">
        <w:tc>
          <w:tcPr>
            <w:tcW w:w="1644" w:type="pct"/>
            <w:tcMar>
              <w:left w:w="108" w:type="dxa"/>
              <w:right w:w="108" w:type="dxa"/>
            </w:tcMar>
          </w:tcPr>
          <w:p w14:paraId="3C0BABD9"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2026</w:t>
            </w:r>
          </w:p>
        </w:tc>
        <w:tc>
          <w:tcPr>
            <w:tcW w:w="1704" w:type="pct"/>
            <w:tcMar>
              <w:left w:w="108" w:type="dxa"/>
              <w:right w:w="108" w:type="dxa"/>
            </w:tcMar>
          </w:tcPr>
          <w:p w14:paraId="26CC6CE4"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0,00</w:t>
            </w:r>
          </w:p>
        </w:tc>
        <w:tc>
          <w:tcPr>
            <w:tcW w:w="1653" w:type="pct"/>
            <w:tcMar>
              <w:left w:w="108" w:type="dxa"/>
              <w:right w:w="108" w:type="dxa"/>
            </w:tcMar>
          </w:tcPr>
          <w:p w14:paraId="0B7A1E21"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295 914,16</w:t>
            </w:r>
          </w:p>
        </w:tc>
      </w:tr>
      <w:tr w:rsidR="007E56D3" w:rsidRPr="0085590F" w14:paraId="441AEB98" w14:textId="77777777" w:rsidTr="007A18B6">
        <w:tc>
          <w:tcPr>
            <w:tcW w:w="1644" w:type="pct"/>
            <w:tcMar>
              <w:left w:w="108" w:type="dxa"/>
              <w:right w:w="108" w:type="dxa"/>
            </w:tcMar>
          </w:tcPr>
          <w:p w14:paraId="1C57E28B"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2027</w:t>
            </w:r>
          </w:p>
        </w:tc>
        <w:tc>
          <w:tcPr>
            <w:tcW w:w="1704" w:type="pct"/>
            <w:tcMar>
              <w:left w:w="108" w:type="dxa"/>
              <w:right w:w="108" w:type="dxa"/>
            </w:tcMar>
          </w:tcPr>
          <w:p w14:paraId="729AA976"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0,00</w:t>
            </w:r>
          </w:p>
        </w:tc>
        <w:tc>
          <w:tcPr>
            <w:tcW w:w="1653" w:type="pct"/>
            <w:tcMar>
              <w:left w:w="108" w:type="dxa"/>
              <w:right w:w="108" w:type="dxa"/>
            </w:tcMar>
          </w:tcPr>
          <w:p w14:paraId="32641233"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185 014,44</w:t>
            </w:r>
          </w:p>
        </w:tc>
      </w:tr>
      <w:tr w:rsidR="007E56D3" w:rsidRPr="0085590F" w14:paraId="3440E7BF" w14:textId="77777777" w:rsidTr="007A18B6">
        <w:tc>
          <w:tcPr>
            <w:tcW w:w="1644" w:type="pct"/>
            <w:tcMar>
              <w:left w:w="108" w:type="dxa"/>
              <w:right w:w="108" w:type="dxa"/>
            </w:tcMar>
          </w:tcPr>
          <w:p w14:paraId="57CD017B"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2028</w:t>
            </w:r>
          </w:p>
        </w:tc>
        <w:tc>
          <w:tcPr>
            <w:tcW w:w="1704" w:type="pct"/>
            <w:tcMar>
              <w:left w:w="108" w:type="dxa"/>
              <w:right w:w="108" w:type="dxa"/>
            </w:tcMar>
          </w:tcPr>
          <w:p w14:paraId="6EBEAEA9"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0,00</w:t>
            </w:r>
          </w:p>
        </w:tc>
        <w:tc>
          <w:tcPr>
            <w:tcW w:w="1653" w:type="pct"/>
            <w:tcMar>
              <w:left w:w="108" w:type="dxa"/>
              <w:right w:w="108" w:type="dxa"/>
            </w:tcMar>
          </w:tcPr>
          <w:p w14:paraId="243F8793"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191 063,25</w:t>
            </w:r>
          </w:p>
        </w:tc>
      </w:tr>
      <w:tr w:rsidR="007E56D3" w:rsidRPr="0085590F" w14:paraId="516FA52D" w14:textId="77777777" w:rsidTr="007A18B6">
        <w:tc>
          <w:tcPr>
            <w:tcW w:w="1644" w:type="pct"/>
            <w:tcMar>
              <w:left w:w="108" w:type="dxa"/>
              <w:right w:w="108" w:type="dxa"/>
            </w:tcMar>
          </w:tcPr>
          <w:p w14:paraId="39075FF5"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2029</w:t>
            </w:r>
          </w:p>
        </w:tc>
        <w:tc>
          <w:tcPr>
            <w:tcW w:w="1704" w:type="pct"/>
            <w:tcMar>
              <w:left w:w="108" w:type="dxa"/>
              <w:right w:w="108" w:type="dxa"/>
            </w:tcMar>
          </w:tcPr>
          <w:p w14:paraId="6AF8FE1D"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0,00</w:t>
            </w:r>
          </w:p>
        </w:tc>
        <w:tc>
          <w:tcPr>
            <w:tcW w:w="1653" w:type="pct"/>
            <w:tcMar>
              <w:left w:w="108" w:type="dxa"/>
              <w:right w:w="108" w:type="dxa"/>
            </w:tcMar>
          </w:tcPr>
          <w:p w14:paraId="6D397CA5"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201 063,25</w:t>
            </w:r>
          </w:p>
        </w:tc>
      </w:tr>
      <w:tr w:rsidR="007E56D3" w:rsidRPr="0085590F" w14:paraId="03481BC1" w14:textId="77777777" w:rsidTr="007A18B6">
        <w:tc>
          <w:tcPr>
            <w:tcW w:w="1644" w:type="pct"/>
            <w:tcMar>
              <w:left w:w="108" w:type="dxa"/>
              <w:right w:w="108" w:type="dxa"/>
            </w:tcMar>
          </w:tcPr>
          <w:p w14:paraId="43208417"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2030</w:t>
            </w:r>
          </w:p>
        </w:tc>
        <w:tc>
          <w:tcPr>
            <w:tcW w:w="1704" w:type="pct"/>
            <w:tcMar>
              <w:left w:w="108" w:type="dxa"/>
              <w:right w:w="108" w:type="dxa"/>
            </w:tcMar>
          </w:tcPr>
          <w:p w14:paraId="517850E7"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0,00</w:t>
            </w:r>
          </w:p>
        </w:tc>
        <w:tc>
          <w:tcPr>
            <w:tcW w:w="1653" w:type="pct"/>
            <w:tcMar>
              <w:left w:w="108" w:type="dxa"/>
              <w:right w:w="108" w:type="dxa"/>
            </w:tcMar>
          </w:tcPr>
          <w:p w14:paraId="0FC49300"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114 135,97</w:t>
            </w:r>
          </w:p>
        </w:tc>
      </w:tr>
      <w:tr w:rsidR="007E56D3" w:rsidRPr="0085590F" w14:paraId="4139913F" w14:textId="77777777" w:rsidTr="007A18B6">
        <w:tc>
          <w:tcPr>
            <w:tcW w:w="1644" w:type="pct"/>
            <w:tcMar>
              <w:left w:w="108" w:type="dxa"/>
              <w:right w:w="108" w:type="dxa"/>
            </w:tcMar>
          </w:tcPr>
          <w:p w14:paraId="005D69CC" w14:textId="77777777" w:rsidR="007E56D3" w:rsidRPr="0085590F" w:rsidRDefault="007E56D3" w:rsidP="007A18B6">
            <w:pPr>
              <w:pStyle w:val="TableCell"/>
              <w:spacing w:line="276" w:lineRule="auto"/>
              <w:jc w:val="center"/>
              <w:rPr>
                <w:rFonts w:ascii="Century" w:hAnsi="Century" w:cs="Calibri"/>
                <w:sz w:val="20"/>
              </w:rPr>
            </w:pPr>
            <w:r w:rsidRPr="0085590F">
              <w:rPr>
                <w:rFonts w:ascii="Century" w:hAnsi="Century"/>
                <w:sz w:val="20"/>
              </w:rPr>
              <w:t>2031</w:t>
            </w:r>
          </w:p>
        </w:tc>
        <w:tc>
          <w:tcPr>
            <w:tcW w:w="1704" w:type="pct"/>
            <w:tcMar>
              <w:left w:w="108" w:type="dxa"/>
              <w:right w:w="108" w:type="dxa"/>
            </w:tcMar>
          </w:tcPr>
          <w:p w14:paraId="1AB070CF"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0,00</w:t>
            </w:r>
          </w:p>
        </w:tc>
        <w:tc>
          <w:tcPr>
            <w:tcW w:w="1653" w:type="pct"/>
            <w:tcMar>
              <w:left w:w="108" w:type="dxa"/>
              <w:right w:w="108" w:type="dxa"/>
            </w:tcMar>
          </w:tcPr>
          <w:p w14:paraId="7DE47A6D" w14:textId="77777777" w:rsidR="007E56D3" w:rsidRPr="0085590F" w:rsidRDefault="007E56D3" w:rsidP="007A18B6">
            <w:pPr>
              <w:pStyle w:val="TableCell"/>
              <w:spacing w:line="276" w:lineRule="auto"/>
              <w:jc w:val="right"/>
              <w:rPr>
                <w:rFonts w:ascii="Century" w:hAnsi="Century" w:cs="Calibri"/>
                <w:sz w:val="20"/>
              </w:rPr>
            </w:pPr>
            <w:r w:rsidRPr="0085590F">
              <w:rPr>
                <w:rFonts w:ascii="Century" w:hAnsi="Century"/>
                <w:sz w:val="20"/>
              </w:rPr>
              <w:t>186 474,96</w:t>
            </w:r>
          </w:p>
        </w:tc>
      </w:tr>
    </w:tbl>
    <w:p w14:paraId="5885FC38" w14:textId="77777777" w:rsidR="007E56D3" w:rsidRPr="0085590F" w:rsidRDefault="007E56D3" w:rsidP="00D337C8">
      <w:pPr>
        <w:pStyle w:val="TablePostscriptum"/>
        <w:spacing w:after="160" w:line="276" w:lineRule="auto"/>
        <w:jc w:val="both"/>
        <w:rPr>
          <w:rFonts w:ascii="Century" w:hAnsi="Century" w:cs="Calibri"/>
          <w:sz w:val="20"/>
        </w:rPr>
      </w:pPr>
      <w:r w:rsidRPr="0085590F">
        <w:rPr>
          <w:rFonts w:ascii="Century" w:hAnsi="Century"/>
          <w:sz w:val="20"/>
        </w:rPr>
        <w:t>*kwota przypadająca na dany rok kwot wyłączeń określonych w art. 243 ust. 3 ustawy, w związku z umową zawartą na realizację programu, projektu lub zadania finansowanego z udziałem środków, o których mowa w art. 5 ust. 1 pkt 2, jeżeli spłata zobowiązań nastąpi w terminie nie dłuższym niż 90 dni po zakończeniu programu, projektu lub zadania finansowanego z udziałem ww. środków</w:t>
      </w:r>
    </w:p>
    <w:p w14:paraId="2729E47C" w14:textId="77777777" w:rsidR="007E56D3" w:rsidRPr="0085590F" w:rsidRDefault="007E56D3" w:rsidP="00D337C8">
      <w:pPr>
        <w:pStyle w:val="TablePostscriptum"/>
        <w:spacing w:after="160" w:line="276" w:lineRule="auto"/>
        <w:jc w:val="both"/>
        <w:rPr>
          <w:rFonts w:ascii="Century" w:hAnsi="Century" w:cs="Calibri"/>
          <w:sz w:val="20"/>
        </w:rPr>
      </w:pPr>
      <w:r w:rsidRPr="0085590F">
        <w:rPr>
          <w:rFonts w:ascii="Century" w:hAnsi="Century"/>
          <w:sz w:val="20"/>
        </w:rPr>
        <w:t>**kwota przypadająca na dany rok kwot wyłączeń określonych w art. 243 ust. 3a ustawy, w związku z umową zawartą na realizację programu, projektu lub zadania finansowanego w co najmniej 50% ze środków, o których mowa w art. 5 ust. 1 pkt 2, w części odpowiadającej wydatkom na wkład krajowy</w:t>
      </w:r>
    </w:p>
    <w:p w14:paraId="0929C945" w14:textId="77777777" w:rsidR="00F56244" w:rsidRPr="008B45CB" w:rsidRDefault="00F56244" w:rsidP="000917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color w:val="FF0000"/>
          <w:sz w:val="20"/>
          <w:szCs w:val="20"/>
          <w:lang w:eastAsia="en-US"/>
        </w:rPr>
      </w:pPr>
    </w:p>
    <w:p w14:paraId="50BCE317" w14:textId="77777777" w:rsidR="00091783" w:rsidRPr="00D27F49" w:rsidRDefault="00091783" w:rsidP="000917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b/>
          <w:sz w:val="20"/>
          <w:szCs w:val="20"/>
          <w:lang w:eastAsia="en-US"/>
        </w:rPr>
      </w:pPr>
      <w:r w:rsidRPr="00D27F49">
        <w:rPr>
          <w:rFonts w:ascii="Century" w:hAnsi="Century" w:cs="Century"/>
          <w:b/>
          <w:sz w:val="20"/>
          <w:szCs w:val="20"/>
          <w:lang w:eastAsia="en-US"/>
        </w:rPr>
        <w:t>Informacja o zastosowanych wyłączeniach z limitu spłat, o których mowa w art. 243 ust. 3a ustawy o finansach publicznych</w:t>
      </w:r>
    </w:p>
    <w:p w14:paraId="10ABA126" w14:textId="77777777" w:rsidR="00091783" w:rsidRPr="00091783" w:rsidRDefault="00091783" w:rsidP="000917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091783">
        <w:rPr>
          <w:rFonts w:ascii="Century" w:hAnsi="Century" w:cs="Century"/>
          <w:sz w:val="20"/>
          <w:szCs w:val="20"/>
          <w:lang w:eastAsia="en-US"/>
        </w:rPr>
        <w:lastRenderedPageBreak/>
        <w:t>Wyłączenia w związku umową zawartą na realizację programu, projektu lub zadania finansowanego w co najmniej 60% ze środków, o których mowa w art. 5 ust. 1 pkt 2 ustawy na zadania, które zostały już zrealizowane w latach ubiegłych, a mianowicie:</w:t>
      </w:r>
    </w:p>
    <w:p w14:paraId="2351EC79" w14:textId="77777777" w:rsidR="00091783" w:rsidRPr="00091783" w:rsidRDefault="00091783" w:rsidP="00091783">
      <w:pPr>
        <w:pStyle w:val="Akapitzlist"/>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091783">
        <w:rPr>
          <w:rFonts w:ascii="Century" w:hAnsi="Century" w:cs="Century"/>
          <w:sz w:val="20"/>
          <w:szCs w:val="20"/>
          <w:lang w:eastAsia="en-US"/>
        </w:rPr>
        <w:t>„Przebudowa ul. Polnej w miejscowości Brójce” - umowa została zawarta w dniu 25.05.2016 r., realizacja wydatków w 2017 r., a udział środków, o których mowa w art. 5 ust. 1 pkt 2 ustawy wyniósł 60,85%.</w:t>
      </w:r>
    </w:p>
    <w:p w14:paraId="18E9A43E" w14:textId="77777777" w:rsidR="00091783" w:rsidRPr="00091783" w:rsidRDefault="00091783" w:rsidP="00091783">
      <w:pPr>
        <w:pStyle w:val="Akapitzlist"/>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091783">
        <w:rPr>
          <w:rFonts w:ascii="Century" w:hAnsi="Century" w:cs="Century"/>
          <w:sz w:val="20"/>
          <w:szCs w:val="20"/>
          <w:lang w:eastAsia="en-US"/>
        </w:rPr>
        <w:t>„Przebudowa świetlicy wiejskiej w miejscowości Brójce” - umowa została zawarta w dniu 09.11.2017 r., realizacja wydatków w 2018 r., a udział środków, o których mowa w art. 5 ust. 1 pkt 2 ustawy wyniósł 63,63%.</w:t>
      </w:r>
    </w:p>
    <w:p w14:paraId="564EA089" w14:textId="77777777" w:rsidR="00091783" w:rsidRPr="00091783" w:rsidRDefault="00091783" w:rsidP="00091783">
      <w:pPr>
        <w:pStyle w:val="Akapitzlist"/>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091783">
        <w:rPr>
          <w:rFonts w:ascii="Century" w:hAnsi="Century"/>
          <w:sz w:val="20"/>
          <w:szCs w:val="20"/>
        </w:rPr>
        <w:t>„</w:t>
      </w:r>
      <w:r w:rsidRPr="00091783">
        <w:rPr>
          <w:rFonts w:ascii="Century" w:hAnsi="Century"/>
          <w:sz w:val="20"/>
          <w:szCs w:val="20"/>
          <w:lang w:eastAsia="en-US"/>
        </w:rPr>
        <w:t xml:space="preserve">Zagospodarowanie terenu plaży w miejscowości Świdwowiec poprzez budowę pomostu i obiektów małej architektury” - </w:t>
      </w:r>
      <w:r w:rsidRPr="00091783">
        <w:rPr>
          <w:rFonts w:ascii="Century" w:hAnsi="Century" w:cs="Century"/>
          <w:sz w:val="20"/>
          <w:szCs w:val="20"/>
          <w:lang w:eastAsia="en-US"/>
        </w:rPr>
        <w:t>umowa została zawarta w dniu 07.03.2019 r., realizacja wydatków w 2019 r., a udział środków, o których mowa w art. 5 ust. 1 pkt 2 ustawy w wysokości 63,63%.</w:t>
      </w:r>
    </w:p>
    <w:p w14:paraId="21718296" w14:textId="77777777" w:rsidR="00091783" w:rsidRPr="00091783" w:rsidRDefault="00091783" w:rsidP="00091783">
      <w:pPr>
        <w:pStyle w:val="Akapitzlist"/>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360" w:lineRule="auto"/>
        <w:jc w:val="both"/>
        <w:rPr>
          <w:rFonts w:ascii="Century" w:hAnsi="Century" w:cs="Century"/>
          <w:sz w:val="20"/>
          <w:szCs w:val="20"/>
          <w:lang w:eastAsia="en-US"/>
        </w:rPr>
      </w:pPr>
      <w:r w:rsidRPr="00091783">
        <w:rPr>
          <w:rFonts w:ascii="Century" w:hAnsi="Century"/>
          <w:sz w:val="20"/>
          <w:szCs w:val="20"/>
        </w:rPr>
        <w:t>„</w:t>
      </w:r>
      <w:r w:rsidRPr="00091783">
        <w:rPr>
          <w:rFonts w:ascii="Century" w:hAnsi="Century" w:cs="Arial"/>
          <w:sz w:val="20"/>
          <w:szCs w:val="20"/>
        </w:rPr>
        <w:t>Termomodernizacja budynku Szkoły Podstawowej, Gimnazjum, Przedszkola i łącznika - Zespół Edukacyjny w Trzcielu, działka nr 58/2 obręb I</w:t>
      </w:r>
      <w:r w:rsidRPr="00091783">
        <w:rPr>
          <w:rFonts w:ascii="Century" w:hAnsi="Century"/>
          <w:sz w:val="20"/>
          <w:szCs w:val="20"/>
          <w:lang w:eastAsia="en-US"/>
        </w:rPr>
        <w:t xml:space="preserve">” - </w:t>
      </w:r>
      <w:r w:rsidRPr="00091783">
        <w:rPr>
          <w:rFonts w:ascii="Century" w:hAnsi="Century" w:cs="Century"/>
          <w:sz w:val="20"/>
          <w:szCs w:val="20"/>
          <w:lang w:eastAsia="en-US"/>
        </w:rPr>
        <w:t>umowa została zawarta w dniu 27.06.2019 r., realizacja wydatków w latach 2019 - 2020, a udział środków, o których mowa w art. 5 ust. 1 pkt 2 ustawy w wysokości 85,00%.</w:t>
      </w:r>
    </w:p>
    <w:p w14:paraId="04B08D42" w14:textId="77777777" w:rsidR="00493ED1" w:rsidRPr="00C7389C" w:rsidRDefault="00493ED1" w:rsidP="00261C41">
      <w:pPr>
        <w:pStyle w:val="Nagwek1"/>
        <w:keepNext/>
        <w:spacing w:after="160" w:line="360" w:lineRule="auto"/>
        <w:rPr>
          <w:rFonts w:ascii="Century" w:hAnsi="Century" w:cs="Calibri"/>
          <w:b/>
          <w:bCs w:val="0"/>
          <w:sz w:val="22"/>
          <w:szCs w:val="20"/>
        </w:rPr>
      </w:pPr>
      <w:r w:rsidRPr="00C7389C">
        <w:rPr>
          <w:rFonts w:ascii="Century" w:hAnsi="Century"/>
          <w:b/>
          <w:bCs w:val="0"/>
          <w:sz w:val="22"/>
          <w:szCs w:val="20"/>
        </w:rPr>
        <w:t>6. Kwota długu</w:t>
      </w:r>
    </w:p>
    <w:p w14:paraId="28EB4795" w14:textId="4BC8A2C8" w:rsidR="00BC1FA9" w:rsidRPr="00C7389C" w:rsidRDefault="00157CF5" w:rsidP="00261C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C7389C">
        <w:rPr>
          <w:rFonts w:ascii="Century" w:hAnsi="Century" w:cs="Century"/>
          <w:sz w:val="20"/>
          <w:szCs w:val="20"/>
          <w:lang w:eastAsia="en-US"/>
        </w:rPr>
        <w:t xml:space="preserve">Prognoza </w:t>
      </w:r>
      <w:r w:rsidR="00CD2FD3" w:rsidRPr="00C7389C">
        <w:rPr>
          <w:rFonts w:ascii="Century" w:hAnsi="Century" w:cs="Century"/>
          <w:sz w:val="20"/>
          <w:szCs w:val="20"/>
          <w:lang w:eastAsia="en-US"/>
        </w:rPr>
        <w:t xml:space="preserve">kwoty </w:t>
      </w:r>
      <w:r w:rsidRPr="00C7389C">
        <w:rPr>
          <w:rFonts w:ascii="Century" w:hAnsi="Century" w:cs="Century"/>
          <w:sz w:val="20"/>
          <w:szCs w:val="20"/>
          <w:lang w:eastAsia="en-US"/>
        </w:rPr>
        <w:t xml:space="preserve">długu i jego spłaty opiera się na dotychczas zaciągniętych </w:t>
      </w:r>
      <w:r w:rsidR="001D5E3F" w:rsidRPr="00C7389C">
        <w:rPr>
          <w:rFonts w:ascii="Century" w:hAnsi="Century" w:cs="Century"/>
          <w:sz w:val="20"/>
          <w:szCs w:val="20"/>
          <w:lang w:eastAsia="en-US"/>
        </w:rPr>
        <w:t xml:space="preserve">kredytach, pożyczkach i wyemitowanych papierach wartościowych </w:t>
      </w:r>
      <w:r w:rsidR="00BC1FA9" w:rsidRPr="00C7389C">
        <w:rPr>
          <w:rFonts w:ascii="Century" w:hAnsi="Century" w:cs="Century"/>
          <w:sz w:val="20"/>
          <w:szCs w:val="20"/>
          <w:lang w:eastAsia="en-US"/>
        </w:rPr>
        <w:t xml:space="preserve">oraz planowanych do zaciągnięcia </w:t>
      </w:r>
      <w:r w:rsidRPr="00C7389C">
        <w:rPr>
          <w:rFonts w:ascii="Century" w:hAnsi="Century" w:cs="Century"/>
          <w:sz w:val="20"/>
          <w:szCs w:val="20"/>
          <w:lang w:eastAsia="en-US"/>
        </w:rPr>
        <w:t>zobowiązania</w:t>
      </w:r>
      <w:r w:rsidR="00097A50" w:rsidRPr="00C7389C">
        <w:rPr>
          <w:rFonts w:ascii="Century" w:hAnsi="Century" w:cs="Century"/>
          <w:sz w:val="20"/>
          <w:szCs w:val="20"/>
          <w:lang w:eastAsia="en-US"/>
        </w:rPr>
        <w:t>ch z tytułu kredytów</w:t>
      </w:r>
      <w:r w:rsidR="001D5E3F" w:rsidRPr="00C7389C">
        <w:rPr>
          <w:rFonts w:ascii="Century" w:hAnsi="Century" w:cs="Century"/>
          <w:sz w:val="20"/>
          <w:szCs w:val="20"/>
          <w:lang w:eastAsia="en-US"/>
        </w:rPr>
        <w:t xml:space="preserve"> i</w:t>
      </w:r>
      <w:r w:rsidR="00097A50" w:rsidRPr="00C7389C">
        <w:rPr>
          <w:rFonts w:ascii="Century" w:hAnsi="Century" w:cs="Century"/>
          <w:sz w:val="20"/>
          <w:szCs w:val="20"/>
          <w:lang w:eastAsia="en-US"/>
        </w:rPr>
        <w:t xml:space="preserve"> pożyczek</w:t>
      </w:r>
      <w:r w:rsidR="00BC1FA9" w:rsidRPr="00C7389C">
        <w:rPr>
          <w:rFonts w:ascii="Century" w:hAnsi="Century" w:cs="Century"/>
          <w:sz w:val="20"/>
          <w:szCs w:val="20"/>
          <w:lang w:eastAsia="en-US"/>
        </w:rPr>
        <w:t>.</w:t>
      </w:r>
    </w:p>
    <w:p w14:paraId="6525F4C5" w14:textId="57983C6F" w:rsidR="0078579C" w:rsidRPr="00C7389C" w:rsidRDefault="0078579C" w:rsidP="00E71B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C7389C">
        <w:rPr>
          <w:rFonts w:ascii="Century" w:hAnsi="Century" w:cs="Century"/>
          <w:sz w:val="20"/>
          <w:szCs w:val="20"/>
          <w:lang w:eastAsia="en-US"/>
        </w:rPr>
        <w:t>Planowany stan zadłużenia na koniec 20</w:t>
      </w:r>
      <w:r w:rsidR="001D5E3F" w:rsidRPr="00C7389C">
        <w:rPr>
          <w:rFonts w:ascii="Century" w:hAnsi="Century" w:cs="Century"/>
          <w:sz w:val="20"/>
          <w:szCs w:val="20"/>
          <w:lang w:eastAsia="en-US"/>
        </w:rPr>
        <w:t>2</w:t>
      </w:r>
      <w:r w:rsidR="00CD2FD3" w:rsidRPr="00C7389C">
        <w:rPr>
          <w:rFonts w:ascii="Century" w:hAnsi="Century" w:cs="Century"/>
          <w:sz w:val="20"/>
          <w:szCs w:val="20"/>
          <w:lang w:eastAsia="en-US"/>
        </w:rPr>
        <w:t>2</w:t>
      </w:r>
      <w:r w:rsidR="00946D51" w:rsidRPr="00C7389C">
        <w:rPr>
          <w:rFonts w:ascii="Century" w:hAnsi="Century" w:cs="Century"/>
          <w:sz w:val="20"/>
          <w:szCs w:val="20"/>
          <w:lang w:eastAsia="en-US"/>
        </w:rPr>
        <w:t xml:space="preserve"> </w:t>
      </w:r>
      <w:r w:rsidRPr="00C7389C">
        <w:rPr>
          <w:rFonts w:ascii="Century" w:hAnsi="Century" w:cs="Century"/>
          <w:sz w:val="20"/>
          <w:szCs w:val="20"/>
          <w:lang w:eastAsia="en-US"/>
        </w:rPr>
        <w:t xml:space="preserve">r. </w:t>
      </w:r>
      <w:r w:rsidR="00F907FB" w:rsidRPr="00C7389C">
        <w:rPr>
          <w:rFonts w:ascii="Century" w:hAnsi="Century" w:cs="Century"/>
          <w:sz w:val="20"/>
          <w:szCs w:val="20"/>
          <w:lang w:eastAsia="en-US"/>
        </w:rPr>
        <w:t>wynosić będzie</w:t>
      </w:r>
      <w:r w:rsidRPr="00C7389C">
        <w:rPr>
          <w:rFonts w:ascii="Century" w:hAnsi="Century" w:cs="Century"/>
          <w:sz w:val="20"/>
          <w:szCs w:val="20"/>
          <w:lang w:eastAsia="en-US"/>
        </w:rPr>
        <w:t xml:space="preserve"> </w:t>
      </w:r>
      <w:r w:rsidR="00CD2FD3" w:rsidRPr="00C7389C">
        <w:rPr>
          <w:rFonts w:ascii="Century" w:hAnsi="Century" w:cs="Century"/>
          <w:sz w:val="20"/>
          <w:szCs w:val="20"/>
          <w:lang w:eastAsia="en-US"/>
        </w:rPr>
        <w:t>11 323 083,</w:t>
      </w:r>
      <w:r w:rsidR="00946D51" w:rsidRPr="00C7389C">
        <w:rPr>
          <w:rFonts w:ascii="Century" w:hAnsi="Century" w:cs="Century"/>
          <w:sz w:val="20"/>
          <w:szCs w:val="20"/>
          <w:lang w:eastAsia="en-US"/>
        </w:rPr>
        <w:t>00</w:t>
      </w:r>
      <w:r w:rsidRPr="00C7389C">
        <w:rPr>
          <w:rFonts w:ascii="Century" w:hAnsi="Century" w:cs="Century"/>
          <w:sz w:val="20"/>
          <w:szCs w:val="20"/>
          <w:lang w:eastAsia="en-US"/>
        </w:rPr>
        <w:t xml:space="preserve"> zł, </w:t>
      </w:r>
      <w:r w:rsidR="00F907FB" w:rsidRPr="00C7389C">
        <w:rPr>
          <w:rFonts w:ascii="Century" w:hAnsi="Century" w:cs="Century"/>
          <w:sz w:val="20"/>
          <w:szCs w:val="20"/>
          <w:lang w:eastAsia="en-US"/>
        </w:rPr>
        <w:t>po uwzględnieniu</w:t>
      </w:r>
      <w:r w:rsidRPr="00C7389C">
        <w:rPr>
          <w:rFonts w:ascii="Century" w:hAnsi="Century" w:cs="Century"/>
          <w:sz w:val="20"/>
          <w:szCs w:val="20"/>
          <w:lang w:eastAsia="en-US"/>
        </w:rPr>
        <w:t xml:space="preserve"> planowan</w:t>
      </w:r>
      <w:r w:rsidR="00F907FB" w:rsidRPr="00C7389C">
        <w:rPr>
          <w:rFonts w:ascii="Century" w:hAnsi="Century" w:cs="Century"/>
          <w:sz w:val="20"/>
          <w:szCs w:val="20"/>
          <w:lang w:eastAsia="en-US"/>
        </w:rPr>
        <w:t>ych spłat rat kredytów</w:t>
      </w:r>
      <w:r w:rsidR="001D5E3F" w:rsidRPr="00C7389C">
        <w:rPr>
          <w:rFonts w:ascii="Century" w:hAnsi="Century" w:cs="Century"/>
          <w:sz w:val="20"/>
          <w:szCs w:val="20"/>
          <w:lang w:eastAsia="en-US"/>
        </w:rPr>
        <w:t xml:space="preserve">, </w:t>
      </w:r>
      <w:r w:rsidR="00F907FB" w:rsidRPr="00C7389C">
        <w:rPr>
          <w:rFonts w:ascii="Century" w:hAnsi="Century" w:cs="Century"/>
          <w:sz w:val="20"/>
          <w:szCs w:val="20"/>
          <w:lang w:eastAsia="en-US"/>
        </w:rPr>
        <w:t>poż</w:t>
      </w:r>
      <w:r w:rsidRPr="00C7389C">
        <w:rPr>
          <w:rFonts w:ascii="Century" w:hAnsi="Century" w:cs="Century"/>
          <w:sz w:val="20"/>
          <w:szCs w:val="20"/>
          <w:lang w:eastAsia="en-US"/>
        </w:rPr>
        <w:t>yczek</w:t>
      </w:r>
      <w:r w:rsidR="001D5E3F" w:rsidRPr="00C7389C">
        <w:rPr>
          <w:rFonts w:ascii="Century" w:hAnsi="Century" w:cs="Century"/>
          <w:sz w:val="20"/>
          <w:szCs w:val="20"/>
          <w:lang w:eastAsia="en-US"/>
        </w:rPr>
        <w:t xml:space="preserve"> i wykupu papierów wartościowych </w:t>
      </w:r>
      <w:r w:rsidRPr="00C7389C">
        <w:rPr>
          <w:rFonts w:ascii="Century" w:hAnsi="Century" w:cs="Century"/>
          <w:sz w:val="20"/>
          <w:szCs w:val="20"/>
          <w:lang w:eastAsia="en-US"/>
        </w:rPr>
        <w:t xml:space="preserve">w łącznej kwocie </w:t>
      </w:r>
      <w:r w:rsidR="00CD2FD3" w:rsidRPr="00C7389C">
        <w:rPr>
          <w:rFonts w:ascii="Century" w:hAnsi="Century" w:cs="Century"/>
          <w:sz w:val="20"/>
          <w:szCs w:val="20"/>
          <w:lang w:eastAsia="en-US"/>
        </w:rPr>
        <w:t>2 499 116,66</w:t>
      </w:r>
      <w:r w:rsidRPr="00C7389C">
        <w:rPr>
          <w:rFonts w:ascii="Century" w:hAnsi="Century" w:cs="Century"/>
          <w:sz w:val="20"/>
          <w:szCs w:val="20"/>
          <w:lang w:eastAsia="en-US"/>
        </w:rPr>
        <w:t xml:space="preserve"> zł</w:t>
      </w:r>
      <w:r w:rsidR="00F907FB" w:rsidRPr="00C7389C">
        <w:rPr>
          <w:rFonts w:ascii="Century" w:hAnsi="Century" w:cs="Century"/>
          <w:sz w:val="20"/>
          <w:szCs w:val="20"/>
          <w:lang w:eastAsia="en-US"/>
        </w:rPr>
        <w:t xml:space="preserve"> oraz </w:t>
      </w:r>
      <w:r w:rsidR="006A798E" w:rsidRPr="00C7389C">
        <w:rPr>
          <w:rFonts w:ascii="Century" w:hAnsi="Century" w:cs="Century"/>
          <w:sz w:val="20"/>
          <w:szCs w:val="20"/>
          <w:lang w:eastAsia="en-US"/>
        </w:rPr>
        <w:t>zaciągnięt</w:t>
      </w:r>
      <w:r w:rsidR="00946D51" w:rsidRPr="00C7389C">
        <w:rPr>
          <w:rFonts w:ascii="Century" w:hAnsi="Century" w:cs="Century"/>
          <w:sz w:val="20"/>
          <w:szCs w:val="20"/>
          <w:lang w:eastAsia="en-US"/>
        </w:rPr>
        <w:t>ych</w:t>
      </w:r>
      <w:r w:rsidR="006A798E" w:rsidRPr="00C7389C">
        <w:rPr>
          <w:rFonts w:ascii="Century" w:hAnsi="Century" w:cs="Century"/>
          <w:sz w:val="20"/>
          <w:szCs w:val="20"/>
          <w:lang w:eastAsia="en-US"/>
        </w:rPr>
        <w:t xml:space="preserve"> </w:t>
      </w:r>
      <w:r w:rsidR="00946D51" w:rsidRPr="00C7389C">
        <w:rPr>
          <w:rFonts w:ascii="Century" w:hAnsi="Century" w:cs="Century"/>
          <w:sz w:val="20"/>
          <w:szCs w:val="20"/>
          <w:lang w:eastAsia="en-US"/>
        </w:rPr>
        <w:t xml:space="preserve">pożyczek na wyprzedzające finansowanie działań finansowanych z budżetu Unii Europejskiej w łącznej kwocie </w:t>
      </w:r>
      <w:r w:rsidR="00CD2FD3" w:rsidRPr="00C7389C">
        <w:rPr>
          <w:rFonts w:ascii="Century" w:hAnsi="Century" w:cs="Century"/>
          <w:sz w:val="20"/>
          <w:szCs w:val="20"/>
          <w:lang w:eastAsia="en-US"/>
        </w:rPr>
        <w:t>2 117 542</w:t>
      </w:r>
      <w:r w:rsidR="00946D51" w:rsidRPr="00C7389C">
        <w:rPr>
          <w:rFonts w:ascii="Century" w:hAnsi="Century" w:cs="Century"/>
          <w:sz w:val="20"/>
          <w:szCs w:val="20"/>
          <w:lang w:eastAsia="en-US"/>
        </w:rPr>
        <w:t>,00 zł.</w:t>
      </w:r>
    </w:p>
    <w:p w14:paraId="4314F5B7" w14:textId="14C81B5F" w:rsidR="007D0C92" w:rsidRDefault="00B35BFA" w:rsidP="00E71B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C7389C">
        <w:rPr>
          <w:rFonts w:ascii="Century" w:hAnsi="Century" w:cs="Century"/>
          <w:sz w:val="20"/>
          <w:szCs w:val="20"/>
          <w:lang w:eastAsia="en-US"/>
        </w:rPr>
        <w:tab/>
      </w:r>
      <w:r w:rsidR="005C306C" w:rsidRPr="00C7389C">
        <w:rPr>
          <w:rFonts w:ascii="Century" w:hAnsi="Century" w:cs="Century"/>
          <w:sz w:val="20"/>
          <w:szCs w:val="20"/>
          <w:lang w:eastAsia="en-US"/>
        </w:rPr>
        <w:t>W roku 20</w:t>
      </w:r>
      <w:r w:rsidR="006A798E" w:rsidRPr="00C7389C">
        <w:rPr>
          <w:rFonts w:ascii="Century" w:hAnsi="Century" w:cs="Century"/>
          <w:sz w:val="20"/>
          <w:szCs w:val="20"/>
          <w:lang w:eastAsia="en-US"/>
        </w:rPr>
        <w:t>2</w:t>
      </w:r>
      <w:r w:rsidR="00CD2FD3" w:rsidRPr="00C7389C">
        <w:rPr>
          <w:rFonts w:ascii="Century" w:hAnsi="Century" w:cs="Century"/>
          <w:sz w:val="20"/>
          <w:szCs w:val="20"/>
          <w:lang w:eastAsia="en-US"/>
        </w:rPr>
        <w:t>3</w:t>
      </w:r>
      <w:r w:rsidR="00F907FB" w:rsidRPr="00C7389C">
        <w:rPr>
          <w:rFonts w:ascii="Century" w:hAnsi="Century" w:cs="Century"/>
          <w:sz w:val="20"/>
          <w:szCs w:val="20"/>
          <w:lang w:eastAsia="en-US"/>
        </w:rPr>
        <w:t xml:space="preserve"> planuje się </w:t>
      </w:r>
      <w:r w:rsidR="009C0916" w:rsidRPr="00C7389C">
        <w:rPr>
          <w:rFonts w:ascii="Century" w:hAnsi="Century" w:cs="Century"/>
          <w:sz w:val="20"/>
          <w:szCs w:val="20"/>
          <w:lang w:eastAsia="en-US"/>
        </w:rPr>
        <w:t xml:space="preserve">wykup papierów wartościowych </w:t>
      </w:r>
      <w:r w:rsidR="00381B7D" w:rsidRPr="00C7389C">
        <w:rPr>
          <w:rFonts w:ascii="Century" w:hAnsi="Century" w:cs="Century"/>
          <w:sz w:val="20"/>
          <w:szCs w:val="20"/>
          <w:lang w:eastAsia="en-US"/>
        </w:rPr>
        <w:t xml:space="preserve">oraz </w:t>
      </w:r>
      <w:r w:rsidR="00F907FB" w:rsidRPr="00C7389C">
        <w:rPr>
          <w:rFonts w:ascii="Century" w:hAnsi="Century" w:cs="Century"/>
          <w:sz w:val="20"/>
          <w:szCs w:val="20"/>
          <w:lang w:eastAsia="en-US"/>
        </w:rPr>
        <w:t xml:space="preserve">spłaty rat </w:t>
      </w:r>
      <w:r w:rsidR="009C0916" w:rsidRPr="00C7389C">
        <w:rPr>
          <w:rFonts w:ascii="Century" w:hAnsi="Century" w:cs="Century"/>
          <w:sz w:val="20"/>
          <w:szCs w:val="20"/>
          <w:lang w:eastAsia="en-US"/>
        </w:rPr>
        <w:t xml:space="preserve">kredytów i pożyczek </w:t>
      </w:r>
      <w:r w:rsidR="00F907FB" w:rsidRPr="00C7389C">
        <w:rPr>
          <w:rFonts w:ascii="Century" w:hAnsi="Century" w:cs="Century"/>
          <w:sz w:val="20"/>
          <w:szCs w:val="20"/>
          <w:lang w:eastAsia="en-US"/>
        </w:rPr>
        <w:t xml:space="preserve">zgodnie z harmonogramami w łącznej kwocie </w:t>
      </w:r>
      <w:r w:rsidR="00CD2FD3" w:rsidRPr="00C7389C">
        <w:rPr>
          <w:rFonts w:ascii="Century" w:hAnsi="Century" w:cs="Century"/>
          <w:sz w:val="20"/>
          <w:szCs w:val="20"/>
          <w:lang w:eastAsia="en-US"/>
        </w:rPr>
        <w:t>6 295 089</w:t>
      </w:r>
      <w:r w:rsidR="007F4C01" w:rsidRPr="00C7389C">
        <w:rPr>
          <w:rFonts w:ascii="Century" w:hAnsi="Century" w:cs="Century"/>
          <w:sz w:val="20"/>
          <w:szCs w:val="20"/>
          <w:lang w:eastAsia="en-US"/>
        </w:rPr>
        <w:t>,</w:t>
      </w:r>
      <w:r w:rsidR="005C306C" w:rsidRPr="00C7389C">
        <w:rPr>
          <w:rFonts w:ascii="Century" w:hAnsi="Century" w:cs="Century"/>
          <w:sz w:val="20"/>
          <w:szCs w:val="20"/>
          <w:lang w:eastAsia="en-US"/>
        </w:rPr>
        <w:t>00 zł, w tym pożyczk</w:t>
      </w:r>
      <w:r w:rsidR="00617F36" w:rsidRPr="00C7389C">
        <w:rPr>
          <w:rFonts w:ascii="Century" w:hAnsi="Century" w:cs="Century"/>
          <w:sz w:val="20"/>
          <w:szCs w:val="20"/>
          <w:lang w:eastAsia="en-US"/>
        </w:rPr>
        <w:t>i</w:t>
      </w:r>
      <w:r w:rsidR="005C306C" w:rsidRPr="00C7389C">
        <w:rPr>
          <w:rFonts w:ascii="Century" w:hAnsi="Century" w:cs="Century"/>
          <w:sz w:val="20"/>
          <w:szCs w:val="20"/>
          <w:lang w:eastAsia="en-US"/>
        </w:rPr>
        <w:t xml:space="preserve"> na wyprzedzające finansowanie działań finansowanych z budżetu Unii Europejskiej w kwocie</w:t>
      </w:r>
      <w:r w:rsidR="00CD2FD3" w:rsidRPr="00C7389C">
        <w:rPr>
          <w:rFonts w:ascii="Century" w:hAnsi="Century" w:cs="Century"/>
          <w:sz w:val="20"/>
          <w:szCs w:val="20"/>
          <w:lang w:eastAsia="en-US"/>
        </w:rPr>
        <w:t xml:space="preserve">   </w:t>
      </w:r>
      <w:r w:rsidR="005C306C" w:rsidRPr="00C7389C">
        <w:rPr>
          <w:rFonts w:ascii="Century" w:hAnsi="Century" w:cs="Century"/>
          <w:sz w:val="20"/>
          <w:szCs w:val="20"/>
          <w:lang w:eastAsia="en-US"/>
        </w:rPr>
        <w:t xml:space="preserve"> </w:t>
      </w:r>
      <w:r w:rsidR="00CD2FD3" w:rsidRPr="00C7389C">
        <w:rPr>
          <w:rFonts w:ascii="Century" w:hAnsi="Century" w:cs="Century"/>
          <w:sz w:val="20"/>
          <w:szCs w:val="20"/>
          <w:lang w:eastAsia="en-US"/>
        </w:rPr>
        <w:t>5 350 286</w:t>
      </w:r>
      <w:r w:rsidR="00381B7D" w:rsidRPr="00C7389C">
        <w:rPr>
          <w:rFonts w:ascii="Century" w:hAnsi="Century" w:cs="Century"/>
          <w:sz w:val="20"/>
          <w:szCs w:val="20"/>
          <w:lang w:eastAsia="en-US"/>
        </w:rPr>
        <w:t>,</w:t>
      </w:r>
      <w:r w:rsidR="005C306C" w:rsidRPr="00C7389C">
        <w:rPr>
          <w:rFonts w:ascii="Century" w:hAnsi="Century" w:cs="Century"/>
          <w:sz w:val="20"/>
          <w:szCs w:val="20"/>
          <w:lang w:eastAsia="en-US"/>
        </w:rPr>
        <w:t>00 zł. Planuje się</w:t>
      </w:r>
      <w:r w:rsidR="00F907FB" w:rsidRPr="00C7389C">
        <w:rPr>
          <w:rFonts w:ascii="Century" w:hAnsi="Century" w:cs="Century"/>
          <w:sz w:val="20"/>
          <w:szCs w:val="20"/>
          <w:lang w:eastAsia="en-US"/>
        </w:rPr>
        <w:t xml:space="preserve"> zaciągnięcie kredytów i pożyczek</w:t>
      </w:r>
      <w:r w:rsidR="001C2F42" w:rsidRPr="00C7389C">
        <w:rPr>
          <w:rFonts w:ascii="Century" w:hAnsi="Century" w:cs="Century"/>
          <w:sz w:val="20"/>
          <w:szCs w:val="20"/>
          <w:lang w:eastAsia="en-US"/>
        </w:rPr>
        <w:t xml:space="preserve"> </w:t>
      </w:r>
      <w:r w:rsidR="00F907FB" w:rsidRPr="00C7389C">
        <w:rPr>
          <w:rFonts w:ascii="Century" w:hAnsi="Century" w:cs="Century"/>
          <w:sz w:val="20"/>
          <w:szCs w:val="20"/>
          <w:lang w:eastAsia="en-US"/>
        </w:rPr>
        <w:t xml:space="preserve">w </w:t>
      </w:r>
      <w:r w:rsidR="00F370B7" w:rsidRPr="00C7389C">
        <w:rPr>
          <w:rFonts w:ascii="Century" w:hAnsi="Century" w:cs="Century"/>
          <w:sz w:val="20"/>
          <w:szCs w:val="20"/>
          <w:lang w:eastAsia="en-US"/>
        </w:rPr>
        <w:t xml:space="preserve">łącznej kwocie </w:t>
      </w:r>
      <w:r w:rsidR="00CD2FD3" w:rsidRPr="00C7389C">
        <w:rPr>
          <w:rFonts w:ascii="Century" w:hAnsi="Century" w:cs="Century"/>
          <w:sz w:val="20"/>
          <w:szCs w:val="20"/>
          <w:lang w:eastAsia="en-US"/>
        </w:rPr>
        <w:t>9 508 898</w:t>
      </w:r>
      <w:r w:rsidR="00F907FB" w:rsidRPr="00C7389C">
        <w:rPr>
          <w:rFonts w:ascii="Century" w:hAnsi="Century" w:cs="Century"/>
          <w:sz w:val="20"/>
          <w:szCs w:val="20"/>
          <w:lang w:eastAsia="en-US"/>
        </w:rPr>
        <w:t>,00 zł</w:t>
      </w:r>
      <w:r w:rsidR="008B1AC5" w:rsidRPr="00C7389C">
        <w:rPr>
          <w:rFonts w:ascii="Century" w:hAnsi="Century" w:cs="Century"/>
          <w:sz w:val="20"/>
          <w:szCs w:val="20"/>
          <w:lang w:eastAsia="en-US"/>
        </w:rPr>
        <w:t xml:space="preserve">, w tym </w:t>
      </w:r>
      <w:r w:rsidR="00F46067" w:rsidRPr="00C7389C">
        <w:rPr>
          <w:rFonts w:ascii="Century" w:hAnsi="Century" w:cs="Century"/>
          <w:sz w:val="20"/>
          <w:szCs w:val="20"/>
          <w:lang w:eastAsia="en-US"/>
        </w:rPr>
        <w:t xml:space="preserve">podlegające wyłączeniu z limitu spłaty </w:t>
      </w:r>
      <w:r w:rsidR="008B1AC5" w:rsidRPr="00C7389C">
        <w:rPr>
          <w:rFonts w:ascii="Century" w:hAnsi="Century" w:cs="Century"/>
          <w:sz w:val="20"/>
          <w:szCs w:val="20"/>
          <w:lang w:eastAsia="en-US"/>
        </w:rPr>
        <w:t>pożyczk</w:t>
      </w:r>
      <w:r w:rsidR="00352ACF" w:rsidRPr="00C7389C">
        <w:rPr>
          <w:rFonts w:ascii="Century" w:hAnsi="Century" w:cs="Century"/>
          <w:sz w:val="20"/>
          <w:szCs w:val="20"/>
          <w:lang w:eastAsia="en-US"/>
        </w:rPr>
        <w:t>i</w:t>
      </w:r>
      <w:r w:rsidR="008B1AC5" w:rsidRPr="00C7389C">
        <w:rPr>
          <w:rFonts w:ascii="Century" w:hAnsi="Century" w:cs="Century"/>
          <w:sz w:val="20"/>
          <w:szCs w:val="20"/>
          <w:lang w:eastAsia="en-US"/>
        </w:rPr>
        <w:t xml:space="preserve"> na wyprzedzające fin</w:t>
      </w:r>
      <w:r w:rsidR="009E0220" w:rsidRPr="00C7389C">
        <w:rPr>
          <w:rFonts w:ascii="Century" w:hAnsi="Century" w:cs="Century"/>
          <w:sz w:val="20"/>
          <w:szCs w:val="20"/>
          <w:lang w:eastAsia="en-US"/>
        </w:rPr>
        <w:t xml:space="preserve">ansowanie działań finansowanych </w:t>
      </w:r>
      <w:r w:rsidR="008B1AC5" w:rsidRPr="00C7389C">
        <w:rPr>
          <w:rFonts w:ascii="Century" w:hAnsi="Century" w:cs="Century"/>
          <w:sz w:val="20"/>
          <w:szCs w:val="20"/>
          <w:lang w:eastAsia="en-US"/>
        </w:rPr>
        <w:t xml:space="preserve">z budżetu Unii Europejskiej w kwocie </w:t>
      </w:r>
      <w:r w:rsidR="00CD2FD3" w:rsidRPr="00C7389C">
        <w:rPr>
          <w:rFonts w:ascii="Century" w:hAnsi="Century" w:cs="Century"/>
          <w:sz w:val="20"/>
          <w:szCs w:val="20"/>
          <w:lang w:eastAsia="en-US"/>
        </w:rPr>
        <w:t>3 508 898</w:t>
      </w:r>
      <w:r w:rsidR="005C306C" w:rsidRPr="00C7389C">
        <w:rPr>
          <w:rFonts w:ascii="Century" w:hAnsi="Century" w:cs="Century"/>
          <w:sz w:val="20"/>
          <w:szCs w:val="20"/>
          <w:lang w:eastAsia="en-US"/>
        </w:rPr>
        <w:t>,00 zł</w:t>
      </w:r>
      <w:r w:rsidR="001D5E3F" w:rsidRPr="00C7389C">
        <w:rPr>
          <w:rFonts w:ascii="Century" w:hAnsi="Century" w:cs="Century"/>
          <w:sz w:val="20"/>
          <w:szCs w:val="20"/>
          <w:lang w:eastAsia="en-US"/>
        </w:rPr>
        <w:t>.</w:t>
      </w:r>
      <w:r w:rsidR="008B1AC5" w:rsidRPr="00C7389C">
        <w:rPr>
          <w:rFonts w:ascii="Century" w:hAnsi="Century" w:cs="Century"/>
          <w:sz w:val="20"/>
          <w:szCs w:val="20"/>
          <w:lang w:eastAsia="en-US"/>
        </w:rPr>
        <w:t xml:space="preserve"> </w:t>
      </w:r>
      <w:r w:rsidR="00F907FB" w:rsidRPr="00C7389C">
        <w:rPr>
          <w:rFonts w:ascii="Century" w:hAnsi="Century" w:cs="Century"/>
          <w:sz w:val="20"/>
          <w:szCs w:val="20"/>
          <w:lang w:eastAsia="en-US"/>
        </w:rPr>
        <w:t>Wówczas pl</w:t>
      </w:r>
      <w:r w:rsidR="00F370B7" w:rsidRPr="00C7389C">
        <w:rPr>
          <w:rFonts w:ascii="Century" w:hAnsi="Century" w:cs="Century"/>
          <w:sz w:val="20"/>
          <w:szCs w:val="20"/>
          <w:lang w:eastAsia="en-US"/>
        </w:rPr>
        <w:t xml:space="preserve">anowana kwota długu </w:t>
      </w:r>
      <w:r w:rsidR="00CD2FD3" w:rsidRPr="00C7389C">
        <w:rPr>
          <w:rFonts w:ascii="Century" w:hAnsi="Century" w:cs="Century"/>
          <w:sz w:val="20"/>
          <w:szCs w:val="20"/>
          <w:lang w:eastAsia="en-US"/>
        </w:rPr>
        <w:t xml:space="preserve">na koniec 2023 r. </w:t>
      </w:r>
      <w:r w:rsidR="00F370B7" w:rsidRPr="00C7389C">
        <w:rPr>
          <w:rFonts w:ascii="Century" w:hAnsi="Century" w:cs="Century"/>
          <w:sz w:val="20"/>
          <w:szCs w:val="20"/>
          <w:lang w:eastAsia="en-US"/>
        </w:rPr>
        <w:t xml:space="preserve">wyniesie </w:t>
      </w:r>
      <w:r w:rsidR="00CD2FD3" w:rsidRPr="00C7389C">
        <w:rPr>
          <w:rFonts w:ascii="Century" w:hAnsi="Century" w:cs="Century"/>
          <w:sz w:val="20"/>
          <w:szCs w:val="20"/>
          <w:lang w:eastAsia="en-US"/>
        </w:rPr>
        <w:t>14 536 892</w:t>
      </w:r>
      <w:r w:rsidR="001D5E3F" w:rsidRPr="00C7389C">
        <w:rPr>
          <w:rFonts w:ascii="Century" w:hAnsi="Century" w:cs="Century"/>
          <w:sz w:val="20"/>
          <w:szCs w:val="20"/>
          <w:lang w:eastAsia="en-US"/>
        </w:rPr>
        <w:t>,00</w:t>
      </w:r>
      <w:r w:rsidR="00F907FB" w:rsidRPr="00C7389C">
        <w:rPr>
          <w:rFonts w:ascii="Century" w:hAnsi="Century" w:cs="Century"/>
          <w:sz w:val="20"/>
          <w:szCs w:val="20"/>
          <w:lang w:eastAsia="en-US"/>
        </w:rPr>
        <w:t xml:space="preserve"> zł.</w:t>
      </w:r>
    </w:p>
    <w:p w14:paraId="5BCEC761" w14:textId="77777777" w:rsidR="00F56244" w:rsidRPr="00C7389C" w:rsidRDefault="00F56244" w:rsidP="00E71B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p>
    <w:p w14:paraId="14A35460" w14:textId="231B0BDF" w:rsidR="007E56D3" w:rsidRDefault="007E56D3" w:rsidP="00DE64B0">
      <w:pPr>
        <w:spacing w:line="360" w:lineRule="auto"/>
        <w:jc w:val="both"/>
        <w:rPr>
          <w:rFonts w:ascii="Century" w:hAnsi="Century"/>
          <w:sz w:val="20"/>
        </w:rPr>
      </w:pPr>
      <w:r w:rsidRPr="00C7389C">
        <w:rPr>
          <w:rFonts w:ascii="Century" w:hAnsi="Century"/>
          <w:sz w:val="20"/>
        </w:rPr>
        <w:t xml:space="preserve">W stosunku do dochodów ogółem pomniejszonych o dotacje i środki o podobnym charakterze oraz powiększonych o przychody z tytułów określonych w art. 217 ust. 2 pkt 4-8 ustawy o finansach publicznych, nieprzeznaczone na sfinansowanie deficytu budżetowego, planowana kwota długu na koniec 2023 roku wyniesie </w:t>
      </w:r>
      <w:r w:rsidR="00DE64B0" w:rsidRPr="00C7389C">
        <w:rPr>
          <w:rFonts w:ascii="Century" w:hAnsi="Century"/>
          <w:sz w:val="20"/>
        </w:rPr>
        <w:t>58,46</w:t>
      </w:r>
      <w:r w:rsidRPr="00C7389C">
        <w:rPr>
          <w:rFonts w:ascii="Century" w:hAnsi="Century"/>
          <w:sz w:val="20"/>
        </w:rPr>
        <w:t>%.</w:t>
      </w:r>
    </w:p>
    <w:p w14:paraId="58E89421" w14:textId="23274CB0" w:rsidR="007E56D3" w:rsidRPr="00C7389C" w:rsidRDefault="007E56D3" w:rsidP="00DE64B0">
      <w:pPr>
        <w:pStyle w:val="TableCaption"/>
        <w:keepNext/>
        <w:spacing w:line="360" w:lineRule="auto"/>
        <w:rPr>
          <w:rFonts w:ascii="Century" w:hAnsi="Century" w:cs="Calibri"/>
          <w:b/>
          <w:bCs w:val="0"/>
          <w:sz w:val="20"/>
          <w:szCs w:val="24"/>
        </w:rPr>
      </w:pPr>
      <w:r w:rsidRPr="00C7389C">
        <w:rPr>
          <w:rFonts w:ascii="Century" w:hAnsi="Century"/>
          <w:b/>
          <w:bCs w:val="0"/>
          <w:sz w:val="20"/>
          <w:szCs w:val="24"/>
        </w:rPr>
        <w:lastRenderedPageBreak/>
        <w:t xml:space="preserve">Tabela </w:t>
      </w:r>
      <w:r w:rsidR="00DE64B0" w:rsidRPr="00C7389C">
        <w:rPr>
          <w:rFonts w:ascii="Century" w:hAnsi="Century"/>
          <w:b/>
          <w:bCs w:val="0"/>
          <w:sz w:val="20"/>
          <w:szCs w:val="24"/>
        </w:rPr>
        <w:t>4</w:t>
      </w:r>
      <w:r w:rsidRPr="00C7389C">
        <w:rPr>
          <w:rFonts w:ascii="Century" w:hAnsi="Century"/>
          <w:b/>
          <w:bCs w:val="0"/>
          <w:sz w:val="20"/>
          <w:szCs w:val="24"/>
        </w:rPr>
        <w:t>. Informacja o wysokości kwoty długu w latach 2023-2025</w:t>
      </w:r>
    </w:p>
    <w:tbl>
      <w:tblPr>
        <w:tblStyle w:val="Tabela-Prosty1"/>
        <w:tblW w:w="4891" w:type="pct"/>
        <w:tblInd w:w="108" w:type="dxa"/>
        <w:tblCellMar>
          <w:left w:w="108" w:type="dxa"/>
          <w:right w:w="108" w:type="dxa"/>
        </w:tblCellMar>
        <w:tblLook w:val="04A0" w:firstRow="1" w:lastRow="0" w:firstColumn="1" w:lastColumn="0" w:noHBand="0" w:noVBand="1"/>
      </w:tblPr>
      <w:tblGrid>
        <w:gridCol w:w="2212"/>
        <w:gridCol w:w="2317"/>
        <w:gridCol w:w="2319"/>
        <w:gridCol w:w="2224"/>
      </w:tblGrid>
      <w:tr w:rsidR="00C7389C" w:rsidRPr="00C7389C" w14:paraId="249E14E0" w14:textId="77777777" w:rsidTr="00DE64B0">
        <w:tc>
          <w:tcPr>
            <w:tcW w:w="1219" w:type="pct"/>
            <w:tcMar>
              <w:left w:w="108" w:type="dxa"/>
              <w:right w:w="108" w:type="dxa"/>
            </w:tcMar>
            <w:vAlign w:val="center"/>
          </w:tcPr>
          <w:p w14:paraId="6D87AB19" w14:textId="77777777" w:rsidR="007E56D3" w:rsidRPr="00C7389C" w:rsidRDefault="007E56D3" w:rsidP="00DE64B0">
            <w:pPr>
              <w:pStyle w:val="TableHeading"/>
              <w:spacing w:line="276" w:lineRule="auto"/>
              <w:jc w:val="center"/>
              <w:rPr>
                <w:rFonts w:ascii="Century" w:hAnsi="Century" w:cs="Calibri"/>
                <w:b/>
                <w:bCs w:val="0"/>
                <w:sz w:val="20"/>
                <w:szCs w:val="24"/>
              </w:rPr>
            </w:pPr>
            <w:r w:rsidRPr="00C7389C">
              <w:rPr>
                <w:rFonts w:ascii="Century" w:hAnsi="Century"/>
                <w:b/>
                <w:bCs w:val="0"/>
                <w:sz w:val="20"/>
                <w:szCs w:val="24"/>
              </w:rPr>
              <w:t>Rok</w:t>
            </w:r>
          </w:p>
        </w:tc>
        <w:tc>
          <w:tcPr>
            <w:tcW w:w="1277" w:type="pct"/>
            <w:tcMar>
              <w:left w:w="108" w:type="dxa"/>
              <w:right w:w="108" w:type="dxa"/>
            </w:tcMar>
            <w:vAlign w:val="center"/>
          </w:tcPr>
          <w:p w14:paraId="08BBDA9E" w14:textId="77777777" w:rsidR="007E56D3" w:rsidRPr="00C7389C" w:rsidRDefault="007E56D3" w:rsidP="00DE64B0">
            <w:pPr>
              <w:pStyle w:val="TableHeading"/>
              <w:spacing w:line="276" w:lineRule="auto"/>
              <w:jc w:val="center"/>
              <w:rPr>
                <w:rFonts w:ascii="Century" w:hAnsi="Century" w:cs="Calibri"/>
                <w:b/>
                <w:bCs w:val="0"/>
                <w:sz w:val="20"/>
                <w:szCs w:val="24"/>
              </w:rPr>
            </w:pPr>
            <w:r w:rsidRPr="00C7389C">
              <w:rPr>
                <w:rFonts w:ascii="Century" w:hAnsi="Century"/>
                <w:b/>
                <w:bCs w:val="0"/>
                <w:sz w:val="20"/>
                <w:szCs w:val="24"/>
              </w:rPr>
              <w:t>Planowana kwota długu na koniec roku [zł]</w:t>
            </w:r>
          </w:p>
        </w:tc>
        <w:tc>
          <w:tcPr>
            <w:tcW w:w="1278" w:type="pct"/>
            <w:tcMar>
              <w:left w:w="108" w:type="dxa"/>
              <w:right w:w="108" w:type="dxa"/>
            </w:tcMar>
            <w:vAlign w:val="center"/>
          </w:tcPr>
          <w:p w14:paraId="29BE8EAE" w14:textId="77777777" w:rsidR="007E56D3" w:rsidRPr="00C7389C" w:rsidRDefault="007E56D3" w:rsidP="00DE64B0">
            <w:pPr>
              <w:pStyle w:val="TableHeading"/>
              <w:spacing w:line="276" w:lineRule="auto"/>
              <w:jc w:val="center"/>
              <w:rPr>
                <w:rFonts w:ascii="Century" w:hAnsi="Century" w:cs="Calibri"/>
                <w:b/>
                <w:bCs w:val="0"/>
                <w:sz w:val="20"/>
                <w:szCs w:val="24"/>
              </w:rPr>
            </w:pPr>
            <w:r w:rsidRPr="00C7389C">
              <w:rPr>
                <w:rFonts w:ascii="Century" w:hAnsi="Century"/>
                <w:b/>
                <w:bCs w:val="0"/>
                <w:sz w:val="20"/>
                <w:szCs w:val="24"/>
              </w:rPr>
              <w:t>Podstawa wskaźnika* [zł]</w:t>
            </w:r>
          </w:p>
        </w:tc>
        <w:tc>
          <w:tcPr>
            <w:tcW w:w="1226" w:type="pct"/>
            <w:tcMar>
              <w:left w:w="108" w:type="dxa"/>
              <w:right w:w="108" w:type="dxa"/>
            </w:tcMar>
            <w:vAlign w:val="center"/>
          </w:tcPr>
          <w:p w14:paraId="0E74744B" w14:textId="77777777" w:rsidR="007E56D3" w:rsidRPr="00C7389C" w:rsidRDefault="007E56D3" w:rsidP="00DE64B0">
            <w:pPr>
              <w:pStyle w:val="TableHeading"/>
              <w:spacing w:line="276" w:lineRule="auto"/>
              <w:jc w:val="center"/>
              <w:rPr>
                <w:rFonts w:ascii="Century" w:hAnsi="Century" w:cs="Calibri"/>
                <w:b/>
                <w:bCs w:val="0"/>
                <w:sz w:val="20"/>
                <w:szCs w:val="24"/>
              </w:rPr>
            </w:pPr>
            <w:r w:rsidRPr="00C7389C">
              <w:rPr>
                <w:rFonts w:ascii="Century" w:hAnsi="Century"/>
                <w:b/>
                <w:bCs w:val="0"/>
                <w:sz w:val="20"/>
                <w:szCs w:val="24"/>
              </w:rPr>
              <w:t>Relacja [zł]</w:t>
            </w:r>
          </w:p>
        </w:tc>
      </w:tr>
      <w:tr w:rsidR="007E56D3" w:rsidRPr="00DE64B0" w14:paraId="7A778615" w14:textId="77777777" w:rsidTr="00DE64B0">
        <w:tc>
          <w:tcPr>
            <w:tcW w:w="1219" w:type="pct"/>
            <w:tcMar>
              <w:left w:w="108" w:type="dxa"/>
              <w:right w:w="108" w:type="dxa"/>
            </w:tcMar>
          </w:tcPr>
          <w:p w14:paraId="5F938E9E" w14:textId="77777777" w:rsidR="007E56D3" w:rsidRPr="00DE64B0" w:rsidRDefault="007E56D3" w:rsidP="00DE64B0">
            <w:pPr>
              <w:pStyle w:val="TableCell"/>
              <w:spacing w:line="276" w:lineRule="auto"/>
              <w:jc w:val="center"/>
              <w:rPr>
                <w:rFonts w:ascii="Century" w:hAnsi="Century" w:cs="Calibri"/>
                <w:sz w:val="20"/>
                <w:szCs w:val="24"/>
              </w:rPr>
            </w:pPr>
            <w:r w:rsidRPr="00DE64B0">
              <w:rPr>
                <w:rFonts w:ascii="Century" w:hAnsi="Century"/>
                <w:sz w:val="20"/>
                <w:szCs w:val="24"/>
              </w:rPr>
              <w:t>2023</w:t>
            </w:r>
          </w:p>
        </w:tc>
        <w:tc>
          <w:tcPr>
            <w:tcW w:w="1277" w:type="pct"/>
            <w:tcMar>
              <w:left w:w="108" w:type="dxa"/>
              <w:right w:w="108" w:type="dxa"/>
            </w:tcMar>
          </w:tcPr>
          <w:p w14:paraId="3AD33AE9" w14:textId="77777777" w:rsidR="007E56D3" w:rsidRPr="00DE64B0" w:rsidRDefault="007E56D3" w:rsidP="00DE64B0">
            <w:pPr>
              <w:pStyle w:val="TableCell"/>
              <w:spacing w:line="276" w:lineRule="auto"/>
              <w:jc w:val="right"/>
              <w:rPr>
                <w:rFonts w:ascii="Century" w:hAnsi="Century" w:cs="Calibri"/>
                <w:sz w:val="20"/>
                <w:szCs w:val="24"/>
              </w:rPr>
            </w:pPr>
            <w:r w:rsidRPr="00DE64B0">
              <w:rPr>
                <w:rFonts w:ascii="Century" w:hAnsi="Century"/>
                <w:sz w:val="20"/>
                <w:szCs w:val="24"/>
              </w:rPr>
              <w:t>14 536 892,00</w:t>
            </w:r>
          </w:p>
        </w:tc>
        <w:tc>
          <w:tcPr>
            <w:tcW w:w="1278" w:type="pct"/>
            <w:tcMar>
              <w:left w:w="108" w:type="dxa"/>
              <w:right w:w="108" w:type="dxa"/>
            </w:tcMar>
          </w:tcPr>
          <w:p w14:paraId="5487CB9E" w14:textId="6FFF7990" w:rsidR="007E56D3" w:rsidRPr="00DE64B0" w:rsidRDefault="00DE64B0" w:rsidP="00DE64B0">
            <w:pPr>
              <w:pStyle w:val="TableCell"/>
              <w:spacing w:line="276" w:lineRule="auto"/>
              <w:jc w:val="right"/>
              <w:rPr>
                <w:rFonts w:ascii="Century" w:hAnsi="Century" w:cs="Calibri"/>
                <w:sz w:val="20"/>
                <w:szCs w:val="24"/>
              </w:rPr>
            </w:pPr>
            <w:r>
              <w:rPr>
                <w:rFonts w:ascii="Century" w:hAnsi="Century"/>
                <w:sz w:val="20"/>
                <w:szCs w:val="24"/>
              </w:rPr>
              <w:t>24 867 326,25</w:t>
            </w:r>
          </w:p>
        </w:tc>
        <w:tc>
          <w:tcPr>
            <w:tcW w:w="1226" w:type="pct"/>
            <w:tcMar>
              <w:left w:w="108" w:type="dxa"/>
              <w:right w:w="108" w:type="dxa"/>
            </w:tcMar>
          </w:tcPr>
          <w:p w14:paraId="789B5778" w14:textId="42E0B56F" w:rsidR="007E56D3" w:rsidRPr="00DE64B0" w:rsidRDefault="00DE64B0" w:rsidP="00DE64B0">
            <w:pPr>
              <w:pStyle w:val="TableCell"/>
              <w:spacing w:line="276" w:lineRule="auto"/>
              <w:jc w:val="right"/>
              <w:rPr>
                <w:rFonts w:ascii="Century" w:hAnsi="Century" w:cs="Calibri"/>
                <w:sz w:val="20"/>
                <w:szCs w:val="24"/>
              </w:rPr>
            </w:pPr>
            <w:r>
              <w:rPr>
                <w:rFonts w:ascii="Century" w:hAnsi="Century"/>
                <w:sz w:val="20"/>
                <w:szCs w:val="24"/>
              </w:rPr>
              <w:t>58,46</w:t>
            </w:r>
            <w:r w:rsidR="007E56D3" w:rsidRPr="00DE64B0">
              <w:rPr>
                <w:rFonts w:ascii="Century" w:hAnsi="Century"/>
                <w:sz w:val="20"/>
                <w:szCs w:val="24"/>
              </w:rPr>
              <w:t>%</w:t>
            </w:r>
          </w:p>
        </w:tc>
      </w:tr>
      <w:tr w:rsidR="007E56D3" w:rsidRPr="00DE64B0" w14:paraId="4DB067EE" w14:textId="77777777" w:rsidTr="00DE64B0">
        <w:tc>
          <w:tcPr>
            <w:tcW w:w="1219" w:type="pct"/>
            <w:tcMar>
              <w:left w:w="108" w:type="dxa"/>
              <w:right w:w="108" w:type="dxa"/>
            </w:tcMar>
          </w:tcPr>
          <w:p w14:paraId="565FDE9F" w14:textId="77777777" w:rsidR="007E56D3" w:rsidRPr="00DE64B0" w:rsidRDefault="007E56D3" w:rsidP="00DE64B0">
            <w:pPr>
              <w:pStyle w:val="TableCell"/>
              <w:spacing w:line="276" w:lineRule="auto"/>
              <w:jc w:val="center"/>
              <w:rPr>
                <w:rFonts w:ascii="Century" w:hAnsi="Century" w:cs="Calibri"/>
                <w:sz w:val="20"/>
                <w:szCs w:val="24"/>
              </w:rPr>
            </w:pPr>
            <w:r w:rsidRPr="00DE64B0">
              <w:rPr>
                <w:rFonts w:ascii="Century" w:hAnsi="Century"/>
                <w:sz w:val="20"/>
                <w:szCs w:val="24"/>
              </w:rPr>
              <w:t>2024</w:t>
            </w:r>
          </w:p>
        </w:tc>
        <w:tc>
          <w:tcPr>
            <w:tcW w:w="1277" w:type="pct"/>
            <w:tcMar>
              <w:left w:w="108" w:type="dxa"/>
              <w:right w:w="108" w:type="dxa"/>
            </w:tcMar>
          </w:tcPr>
          <w:p w14:paraId="36EC5181" w14:textId="77777777" w:rsidR="007E56D3" w:rsidRPr="00DE64B0" w:rsidRDefault="007E56D3" w:rsidP="00DE64B0">
            <w:pPr>
              <w:pStyle w:val="TableCell"/>
              <w:spacing w:line="276" w:lineRule="auto"/>
              <w:jc w:val="right"/>
              <w:rPr>
                <w:rFonts w:ascii="Century" w:hAnsi="Century" w:cs="Calibri"/>
                <w:sz w:val="20"/>
                <w:szCs w:val="24"/>
              </w:rPr>
            </w:pPr>
            <w:r w:rsidRPr="00DE64B0">
              <w:rPr>
                <w:rFonts w:ascii="Century" w:hAnsi="Century"/>
                <w:sz w:val="20"/>
                <w:szCs w:val="24"/>
              </w:rPr>
              <w:t>13 450 000,00</w:t>
            </w:r>
          </w:p>
        </w:tc>
        <w:tc>
          <w:tcPr>
            <w:tcW w:w="1278" w:type="pct"/>
            <w:tcMar>
              <w:left w:w="108" w:type="dxa"/>
              <w:right w:w="108" w:type="dxa"/>
            </w:tcMar>
          </w:tcPr>
          <w:p w14:paraId="22FF903E" w14:textId="77777777" w:rsidR="007E56D3" w:rsidRPr="00DE64B0" w:rsidRDefault="007E56D3" w:rsidP="00DE64B0">
            <w:pPr>
              <w:pStyle w:val="TableCell"/>
              <w:spacing w:line="276" w:lineRule="auto"/>
              <w:jc w:val="right"/>
              <w:rPr>
                <w:rFonts w:ascii="Century" w:hAnsi="Century" w:cs="Calibri"/>
                <w:sz w:val="20"/>
                <w:szCs w:val="24"/>
              </w:rPr>
            </w:pPr>
            <w:r w:rsidRPr="00DE64B0">
              <w:rPr>
                <w:rFonts w:ascii="Century" w:hAnsi="Century"/>
                <w:sz w:val="20"/>
                <w:szCs w:val="24"/>
              </w:rPr>
              <w:t>25 512 162,00</w:t>
            </w:r>
          </w:p>
        </w:tc>
        <w:tc>
          <w:tcPr>
            <w:tcW w:w="1226" w:type="pct"/>
            <w:tcMar>
              <w:left w:w="108" w:type="dxa"/>
              <w:right w:w="108" w:type="dxa"/>
            </w:tcMar>
          </w:tcPr>
          <w:p w14:paraId="414D4DD9" w14:textId="77777777" w:rsidR="007E56D3" w:rsidRPr="00DE64B0" w:rsidRDefault="007E56D3" w:rsidP="00DE64B0">
            <w:pPr>
              <w:pStyle w:val="TableCell"/>
              <w:spacing w:line="276" w:lineRule="auto"/>
              <w:jc w:val="right"/>
              <w:rPr>
                <w:rFonts w:ascii="Century" w:hAnsi="Century" w:cs="Calibri"/>
                <w:sz w:val="20"/>
                <w:szCs w:val="24"/>
              </w:rPr>
            </w:pPr>
            <w:r w:rsidRPr="00DE64B0">
              <w:rPr>
                <w:rFonts w:ascii="Century" w:hAnsi="Century"/>
                <w:sz w:val="20"/>
                <w:szCs w:val="24"/>
              </w:rPr>
              <w:t>52,72%</w:t>
            </w:r>
          </w:p>
        </w:tc>
      </w:tr>
      <w:tr w:rsidR="007E56D3" w:rsidRPr="00DE64B0" w14:paraId="6B9625EF" w14:textId="77777777" w:rsidTr="00DE64B0">
        <w:tc>
          <w:tcPr>
            <w:tcW w:w="1219" w:type="pct"/>
            <w:tcMar>
              <w:left w:w="108" w:type="dxa"/>
              <w:right w:w="108" w:type="dxa"/>
            </w:tcMar>
          </w:tcPr>
          <w:p w14:paraId="038FF719" w14:textId="77777777" w:rsidR="007E56D3" w:rsidRPr="00DE64B0" w:rsidRDefault="007E56D3" w:rsidP="00DE64B0">
            <w:pPr>
              <w:pStyle w:val="TableCell"/>
              <w:spacing w:line="276" w:lineRule="auto"/>
              <w:jc w:val="center"/>
              <w:rPr>
                <w:rFonts w:ascii="Century" w:hAnsi="Century" w:cs="Calibri"/>
                <w:sz w:val="20"/>
                <w:szCs w:val="24"/>
              </w:rPr>
            </w:pPr>
            <w:r w:rsidRPr="00DE64B0">
              <w:rPr>
                <w:rFonts w:ascii="Century" w:hAnsi="Century"/>
                <w:sz w:val="20"/>
                <w:szCs w:val="24"/>
              </w:rPr>
              <w:t>2025</w:t>
            </w:r>
          </w:p>
        </w:tc>
        <w:tc>
          <w:tcPr>
            <w:tcW w:w="1277" w:type="pct"/>
            <w:tcMar>
              <w:left w:w="108" w:type="dxa"/>
              <w:right w:w="108" w:type="dxa"/>
            </w:tcMar>
          </w:tcPr>
          <w:p w14:paraId="45072132" w14:textId="77777777" w:rsidR="007E56D3" w:rsidRPr="00DE64B0" w:rsidRDefault="007E56D3" w:rsidP="00DE64B0">
            <w:pPr>
              <w:pStyle w:val="TableCell"/>
              <w:spacing w:line="276" w:lineRule="auto"/>
              <w:jc w:val="right"/>
              <w:rPr>
                <w:rFonts w:ascii="Century" w:hAnsi="Century" w:cs="Calibri"/>
                <w:sz w:val="20"/>
                <w:szCs w:val="24"/>
              </w:rPr>
            </w:pPr>
            <w:r w:rsidRPr="00DE64B0">
              <w:rPr>
                <w:rFonts w:ascii="Century" w:hAnsi="Century"/>
                <w:sz w:val="20"/>
                <w:szCs w:val="24"/>
              </w:rPr>
              <w:t>12 290 000,00</w:t>
            </w:r>
          </w:p>
        </w:tc>
        <w:tc>
          <w:tcPr>
            <w:tcW w:w="1278" w:type="pct"/>
            <w:tcMar>
              <w:left w:w="108" w:type="dxa"/>
              <w:right w:w="108" w:type="dxa"/>
            </w:tcMar>
          </w:tcPr>
          <w:p w14:paraId="3D914DF6" w14:textId="77777777" w:rsidR="007E56D3" w:rsidRPr="00DE64B0" w:rsidRDefault="007E56D3" w:rsidP="00DE64B0">
            <w:pPr>
              <w:pStyle w:val="TableCell"/>
              <w:spacing w:line="276" w:lineRule="auto"/>
              <w:jc w:val="right"/>
              <w:rPr>
                <w:rFonts w:ascii="Century" w:hAnsi="Century" w:cs="Calibri"/>
                <w:sz w:val="20"/>
                <w:szCs w:val="24"/>
              </w:rPr>
            </w:pPr>
            <w:r w:rsidRPr="00DE64B0">
              <w:rPr>
                <w:rFonts w:ascii="Century" w:hAnsi="Century"/>
                <w:sz w:val="20"/>
                <w:szCs w:val="24"/>
              </w:rPr>
              <w:t>26 299 629,00</w:t>
            </w:r>
          </w:p>
        </w:tc>
        <w:tc>
          <w:tcPr>
            <w:tcW w:w="1226" w:type="pct"/>
            <w:tcMar>
              <w:left w:w="108" w:type="dxa"/>
              <w:right w:w="108" w:type="dxa"/>
            </w:tcMar>
          </w:tcPr>
          <w:p w14:paraId="0A68A532" w14:textId="77777777" w:rsidR="007E56D3" w:rsidRPr="00DE64B0" w:rsidRDefault="007E56D3" w:rsidP="00DE64B0">
            <w:pPr>
              <w:pStyle w:val="TableCell"/>
              <w:spacing w:line="276" w:lineRule="auto"/>
              <w:jc w:val="right"/>
              <w:rPr>
                <w:rFonts w:ascii="Century" w:hAnsi="Century" w:cs="Calibri"/>
                <w:sz w:val="20"/>
                <w:szCs w:val="24"/>
              </w:rPr>
            </w:pPr>
            <w:r w:rsidRPr="00DE64B0">
              <w:rPr>
                <w:rFonts w:ascii="Century" w:hAnsi="Century"/>
                <w:sz w:val="20"/>
                <w:szCs w:val="24"/>
              </w:rPr>
              <w:t>46,73%</w:t>
            </w:r>
          </w:p>
        </w:tc>
      </w:tr>
    </w:tbl>
    <w:p w14:paraId="327A7925" w14:textId="26C3B319" w:rsidR="008B1AC5" w:rsidRDefault="007E56D3" w:rsidP="00F56244">
      <w:pPr>
        <w:pStyle w:val="TablePostscriptum"/>
        <w:spacing w:after="160" w:line="276" w:lineRule="auto"/>
        <w:jc w:val="both"/>
        <w:rPr>
          <w:rFonts w:ascii="Century" w:hAnsi="Century"/>
          <w:sz w:val="20"/>
          <w:szCs w:val="24"/>
        </w:rPr>
      </w:pPr>
      <w:r w:rsidRPr="00DE64B0">
        <w:rPr>
          <w:rFonts w:ascii="Century" w:hAnsi="Century"/>
          <w:sz w:val="20"/>
          <w:szCs w:val="24"/>
        </w:rPr>
        <w:t>*dochody pomniejszone o dotacje i środki o podobnym charakterze oraz powiększone o przychody z tytułów określonych w art. 217 ust. 2 pkt 4-8 ustawy o finansach publicznych, nieprzeznaczone na sfinansowanie deficytu budżetowego</w:t>
      </w:r>
    </w:p>
    <w:p w14:paraId="3CBA9E46" w14:textId="77777777" w:rsidR="00F56244" w:rsidRPr="00F56244" w:rsidRDefault="00F56244" w:rsidP="00F56244">
      <w:pPr>
        <w:pStyle w:val="TablePostscriptum"/>
        <w:spacing w:after="160" w:line="276" w:lineRule="auto"/>
        <w:jc w:val="both"/>
        <w:rPr>
          <w:rFonts w:ascii="Century" w:hAnsi="Century" w:cs="Calibri"/>
          <w:sz w:val="20"/>
          <w:szCs w:val="24"/>
        </w:rPr>
      </w:pPr>
    </w:p>
    <w:p w14:paraId="5B1E873C" w14:textId="77777777" w:rsidR="007E56D3" w:rsidRPr="00261C41" w:rsidRDefault="007E56D3" w:rsidP="00183544">
      <w:pPr>
        <w:pStyle w:val="Nagwek1"/>
        <w:keepNext/>
        <w:spacing w:after="160" w:line="360" w:lineRule="auto"/>
        <w:jc w:val="both"/>
        <w:rPr>
          <w:rFonts w:ascii="Century" w:hAnsi="Century" w:cs="Calibri"/>
          <w:b/>
          <w:bCs w:val="0"/>
          <w:sz w:val="22"/>
          <w:szCs w:val="22"/>
        </w:rPr>
      </w:pPr>
      <w:r w:rsidRPr="00261C41">
        <w:rPr>
          <w:rFonts w:ascii="Century" w:hAnsi="Century"/>
          <w:b/>
          <w:bCs w:val="0"/>
          <w:sz w:val="22"/>
          <w:szCs w:val="22"/>
        </w:rPr>
        <w:t>7. Relacja z art. 242 ustawy o finansach publicznych</w:t>
      </w:r>
    </w:p>
    <w:p w14:paraId="3D36E329" w14:textId="77777777" w:rsidR="007E56D3" w:rsidRPr="00261C41" w:rsidRDefault="007E56D3" w:rsidP="00183544">
      <w:pPr>
        <w:spacing w:line="360" w:lineRule="auto"/>
        <w:jc w:val="both"/>
        <w:rPr>
          <w:rFonts w:ascii="Century" w:hAnsi="Century" w:cs="Calibri"/>
          <w:sz w:val="20"/>
          <w:szCs w:val="20"/>
        </w:rPr>
      </w:pPr>
      <w:r w:rsidRPr="00261C41">
        <w:rPr>
          <w:rFonts w:ascii="Century" w:hAnsi="Century"/>
          <w:sz w:val="20"/>
          <w:szCs w:val="20"/>
        </w:rPr>
        <w:t>W budżecie na 2023 r. zaplanowano ujemną różnicę pomiędzy dochodami i wydatkami bieżącymi. Wynik budżetu bieżącego planuje się na poziomie -1 412 047,40 zł. Ujemny wynik budżetu bieżącego planuje się sfinansować środkami, o których mowa w art. 217 ust. 2 pkt 5-8 ustawy o finansach publicznych. W związku z powyższym Gmina Trzciel zachowuje relację określoną w art. 242 ust. 1 ustawy o finansach publicznych.</w:t>
      </w:r>
    </w:p>
    <w:p w14:paraId="7DB577FA" w14:textId="3450C628" w:rsidR="007E56D3" w:rsidRPr="00261C41" w:rsidRDefault="007E56D3" w:rsidP="00183544">
      <w:pPr>
        <w:pStyle w:val="TableCaption"/>
        <w:keepNext/>
        <w:spacing w:line="360" w:lineRule="auto"/>
        <w:jc w:val="both"/>
        <w:rPr>
          <w:rFonts w:ascii="Century" w:hAnsi="Century" w:cs="Calibri"/>
          <w:b/>
          <w:bCs w:val="0"/>
          <w:sz w:val="20"/>
        </w:rPr>
      </w:pPr>
      <w:r w:rsidRPr="00261C41">
        <w:rPr>
          <w:rFonts w:ascii="Century" w:hAnsi="Century"/>
          <w:b/>
          <w:bCs w:val="0"/>
          <w:sz w:val="20"/>
        </w:rPr>
        <w:t xml:space="preserve">Tabela </w:t>
      </w:r>
      <w:r w:rsidR="005F38E8">
        <w:rPr>
          <w:rFonts w:ascii="Century" w:hAnsi="Century"/>
          <w:b/>
          <w:bCs w:val="0"/>
          <w:sz w:val="20"/>
        </w:rPr>
        <w:t>5</w:t>
      </w:r>
      <w:r w:rsidRPr="00261C41">
        <w:rPr>
          <w:rFonts w:ascii="Century" w:hAnsi="Century"/>
          <w:b/>
          <w:bCs w:val="0"/>
          <w:sz w:val="20"/>
        </w:rPr>
        <w:t>. Wynik budżetu bieżącego Gminy Trzciel</w:t>
      </w:r>
    </w:p>
    <w:tbl>
      <w:tblPr>
        <w:tblStyle w:val="Tabela-Prosty1"/>
        <w:tblW w:w="4891" w:type="pct"/>
        <w:tblInd w:w="108" w:type="dxa"/>
        <w:tblCellMar>
          <w:left w:w="108" w:type="dxa"/>
          <w:right w:w="108" w:type="dxa"/>
        </w:tblCellMar>
        <w:tblLook w:val="04A0" w:firstRow="1" w:lastRow="0" w:firstColumn="1" w:lastColumn="0" w:noHBand="0" w:noVBand="1"/>
      </w:tblPr>
      <w:tblGrid>
        <w:gridCol w:w="1746"/>
        <w:gridCol w:w="1855"/>
        <w:gridCol w:w="1855"/>
        <w:gridCol w:w="1774"/>
        <w:gridCol w:w="1842"/>
      </w:tblGrid>
      <w:tr w:rsidR="007E56D3" w:rsidRPr="00261C41" w14:paraId="25DBA006" w14:textId="77777777" w:rsidTr="005F38E8">
        <w:tc>
          <w:tcPr>
            <w:tcW w:w="962" w:type="pct"/>
            <w:tcMar>
              <w:left w:w="108" w:type="dxa"/>
              <w:right w:w="108" w:type="dxa"/>
            </w:tcMar>
            <w:vAlign w:val="center"/>
          </w:tcPr>
          <w:p w14:paraId="35C8BB17"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Rok</w:t>
            </w:r>
          </w:p>
        </w:tc>
        <w:tc>
          <w:tcPr>
            <w:tcW w:w="1022" w:type="pct"/>
            <w:tcMar>
              <w:left w:w="108" w:type="dxa"/>
              <w:right w:w="108" w:type="dxa"/>
            </w:tcMar>
            <w:vAlign w:val="center"/>
          </w:tcPr>
          <w:p w14:paraId="70BE3233"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Dochody bieżące [zł]</w:t>
            </w:r>
          </w:p>
        </w:tc>
        <w:tc>
          <w:tcPr>
            <w:tcW w:w="1022" w:type="pct"/>
            <w:tcMar>
              <w:left w:w="108" w:type="dxa"/>
              <w:right w:w="108" w:type="dxa"/>
            </w:tcMar>
            <w:vAlign w:val="center"/>
          </w:tcPr>
          <w:p w14:paraId="4B98CE5B"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Wydatki bieżące [zł]</w:t>
            </w:r>
          </w:p>
        </w:tc>
        <w:tc>
          <w:tcPr>
            <w:tcW w:w="978" w:type="pct"/>
            <w:tcMar>
              <w:left w:w="108" w:type="dxa"/>
              <w:right w:w="108" w:type="dxa"/>
            </w:tcMar>
            <w:vAlign w:val="center"/>
          </w:tcPr>
          <w:p w14:paraId="40314E67"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Wynik budżetu bieżącego [zł]</w:t>
            </w:r>
          </w:p>
        </w:tc>
        <w:tc>
          <w:tcPr>
            <w:tcW w:w="1015" w:type="pct"/>
            <w:tcMar>
              <w:left w:w="108" w:type="dxa"/>
              <w:right w:w="108" w:type="dxa"/>
            </w:tcMar>
            <w:vAlign w:val="center"/>
          </w:tcPr>
          <w:p w14:paraId="3E999AFD"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Wynik budżetu bieżącego, skorygowany o środki [zł]</w:t>
            </w:r>
          </w:p>
        </w:tc>
      </w:tr>
      <w:tr w:rsidR="007E56D3" w:rsidRPr="00261C41" w14:paraId="647E6B67" w14:textId="77777777" w:rsidTr="005F38E8">
        <w:tc>
          <w:tcPr>
            <w:tcW w:w="962" w:type="pct"/>
            <w:tcMar>
              <w:left w:w="108" w:type="dxa"/>
              <w:right w:w="108" w:type="dxa"/>
            </w:tcMar>
          </w:tcPr>
          <w:p w14:paraId="7596BDEC"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2023</w:t>
            </w:r>
          </w:p>
        </w:tc>
        <w:tc>
          <w:tcPr>
            <w:tcW w:w="1022" w:type="pct"/>
            <w:tcMar>
              <w:left w:w="108" w:type="dxa"/>
              <w:right w:w="108" w:type="dxa"/>
            </w:tcMar>
          </w:tcPr>
          <w:p w14:paraId="33010C55"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28 443 767,25</w:t>
            </w:r>
          </w:p>
        </w:tc>
        <w:tc>
          <w:tcPr>
            <w:tcW w:w="1022" w:type="pct"/>
            <w:tcMar>
              <w:left w:w="108" w:type="dxa"/>
              <w:right w:w="108" w:type="dxa"/>
            </w:tcMar>
          </w:tcPr>
          <w:p w14:paraId="4A42ED9F"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29 855 814,65</w:t>
            </w:r>
          </w:p>
        </w:tc>
        <w:tc>
          <w:tcPr>
            <w:tcW w:w="978" w:type="pct"/>
            <w:tcMar>
              <w:left w:w="108" w:type="dxa"/>
              <w:right w:w="108" w:type="dxa"/>
            </w:tcMar>
          </w:tcPr>
          <w:p w14:paraId="04A2D75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-1 412 047,40</w:t>
            </w:r>
          </w:p>
        </w:tc>
        <w:tc>
          <w:tcPr>
            <w:tcW w:w="1015" w:type="pct"/>
            <w:tcMar>
              <w:left w:w="108" w:type="dxa"/>
              <w:right w:w="108" w:type="dxa"/>
            </w:tcMar>
          </w:tcPr>
          <w:p w14:paraId="762AD6C6"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1 217 266,60</w:t>
            </w:r>
          </w:p>
        </w:tc>
      </w:tr>
      <w:tr w:rsidR="007E56D3" w:rsidRPr="00261C41" w14:paraId="1A71C845" w14:textId="77777777" w:rsidTr="005F38E8">
        <w:tc>
          <w:tcPr>
            <w:tcW w:w="962" w:type="pct"/>
            <w:tcMar>
              <w:left w:w="108" w:type="dxa"/>
              <w:right w:w="108" w:type="dxa"/>
            </w:tcMar>
          </w:tcPr>
          <w:p w14:paraId="60EB49D3"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2024</w:t>
            </w:r>
          </w:p>
        </w:tc>
        <w:tc>
          <w:tcPr>
            <w:tcW w:w="1022" w:type="pct"/>
            <w:tcMar>
              <w:left w:w="108" w:type="dxa"/>
              <w:right w:w="108" w:type="dxa"/>
            </w:tcMar>
          </w:tcPr>
          <w:p w14:paraId="3D7C03B6"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29 809 068,00</w:t>
            </w:r>
          </w:p>
        </w:tc>
        <w:tc>
          <w:tcPr>
            <w:tcW w:w="1022" w:type="pct"/>
            <w:tcMar>
              <w:left w:w="108" w:type="dxa"/>
              <w:right w:w="108" w:type="dxa"/>
            </w:tcMar>
          </w:tcPr>
          <w:p w14:paraId="59A731B6"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28 507 504,00</w:t>
            </w:r>
          </w:p>
        </w:tc>
        <w:tc>
          <w:tcPr>
            <w:tcW w:w="978" w:type="pct"/>
            <w:tcMar>
              <w:left w:w="108" w:type="dxa"/>
              <w:right w:w="108" w:type="dxa"/>
            </w:tcMar>
          </w:tcPr>
          <w:p w14:paraId="7E2AEFBA"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1 301 564,00</w:t>
            </w:r>
          </w:p>
        </w:tc>
        <w:tc>
          <w:tcPr>
            <w:tcW w:w="1015" w:type="pct"/>
            <w:tcMar>
              <w:left w:w="108" w:type="dxa"/>
              <w:right w:w="108" w:type="dxa"/>
            </w:tcMar>
          </w:tcPr>
          <w:p w14:paraId="503B9FE4"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1 301 564,00</w:t>
            </w:r>
          </w:p>
        </w:tc>
      </w:tr>
      <w:tr w:rsidR="007E56D3" w:rsidRPr="00261C41" w14:paraId="0BAA590E" w14:textId="77777777" w:rsidTr="005F38E8">
        <w:tc>
          <w:tcPr>
            <w:tcW w:w="962" w:type="pct"/>
            <w:tcMar>
              <w:left w:w="108" w:type="dxa"/>
              <w:right w:w="108" w:type="dxa"/>
            </w:tcMar>
          </w:tcPr>
          <w:p w14:paraId="1A1CBBC3"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2025</w:t>
            </w:r>
          </w:p>
        </w:tc>
        <w:tc>
          <w:tcPr>
            <w:tcW w:w="1022" w:type="pct"/>
            <w:tcMar>
              <w:left w:w="108" w:type="dxa"/>
              <w:right w:w="108" w:type="dxa"/>
            </w:tcMar>
          </w:tcPr>
          <w:p w14:paraId="5B5BE04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30 733 149,00</w:t>
            </w:r>
          </w:p>
        </w:tc>
        <w:tc>
          <w:tcPr>
            <w:tcW w:w="1022" w:type="pct"/>
            <w:tcMar>
              <w:left w:w="108" w:type="dxa"/>
              <w:right w:w="108" w:type="dxa"/>
            </w:tcMar>
          </w:tcPr>
          <w:p w14:paraId="6EB73B8F"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29 377 038,00</w:t>
            </w:r>
          </w:p>
        </w:tc>
        <w:tc>
          <w:tcPr>
            <w:tcW w:w="978" w:type="pct"/>
            <w:tcMar>
              <w:left w:w="108" w:type="dxa"/>
              <w:right w:w="108" w:type="dxa"/>
            </w:tcMar>
          </w:tcPr>
          <w:p w14:paraId="0674D94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1 356 111,00</w:t>
            </w:r>
          </w:p>
        </w:tc>
        <w:tc>
          <w:tcPr>
            <w:tcW w:w="1015" w:type="pct"/>
            <w:tcMar>
              <w:left w:w="108" w:type="dxa"/>
              <w:right w:w="108" w:type="dxa"/>
            </w:tcMar>
          </w:tcPr>
          <w:p w14:paraId="4BBF79A4"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1 356 111,00</w:t>
            </w:r>
          </w:p>
        </w:tc>
      </w:tr>
      <w:tr w:rsidR="007E56D3" w:rsidRPr="00261C41" w14:paraId="7A292B47" w14:textId="77777777" w:rsidTr="005F38E8">
        <w:tc>
          <w:tcPr>
            <w:tcW w:w="962" w:type="pct"/>
            <w:tcMar>
              <w:left w:w="108" w:type="dxa"/>
              <w:right w:w="108" w:type="dxa"/>
            </w:tcMar>
          </w:tcPr>
          <w:p w14:paraId="212724B6"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2026</w:t>
            </w:r>
          </w:p>
        </w:tc>
        <w:tc>
          <w:tcPr>
            <w:tcW w:w="1022" w:type="pct"/>
            <w:tcMar>
              <w:left w:w="108" w:type="dxa"/>
              <w:right w:w="108" w:type="dxa"/>
            </w:tcMar>
          </w:tcPr>
          <w:p w14:paraId="75B81D8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31 501 477,00</w:t>
            </w:r>
          </w:p>
        </w:tc>
        <w:tc>
          <w:tcPr>
            <w:tcW w:w="1022" w:type="pct"/>
            <w:tcMar>
              <w:left w:w="108" w:type="dxa"/>
              <w:right w:w="108" w:type="dxa"/>
            </w:tcMar>
          </w:tcPr>
          <w:p w14:paraId="3352965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29 665 813,00</w:t>
            </w:r>
          </w:p>
        </w:tc>
        <w:tc>
          <w:tcPr>
            <w:tcW w:w="978" w:type="pct"/>
            <w:tcMar>
              <w:left w:w="108" w:type="dxa"/>
              <w:right w:w="108" w:type="dxa"/>
            </w:tcMar>
          </w:tcPr>
          <w:p w14:paraId="025E8C0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1 835 664,00</w:t>
            </w:r>
          </w:p>
        </w:tc>
        <w:tc>
          <w:tcPr>
            <w:tcW w:w="1015" w:type="pct"/>
            <w:tcMar>
              <w:left w:w="108" w:type="dxa"/>
              <w:right w:w="108" w:type="dxa"/>
            </w:tcMar>
          </w:tcPr>
          <w:p w14:paraId="002DDAA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1 835 664,00</w:t>
            </w:r>
          </w:p>
        </w:tc>
      </w:tr>
      <w:tr w:rsidR="007E56D3" w:rsidRPr="00261C41" w14:paraId="4A3CB94E" w14:textId="77777777" w:rsidTr="005F38E8">
        <w:tc>
          <w:tcPr>
            <w:tcW w:w="962" w:type="pct"/>
            <w:tcMar>
              <w:left w:w="108" w:type="dxa"/>
              <w:right w:w="108" w:type="dxa"/>
            </w:tcMar>
          </w:tcPr>
          <w:p w14:paraId="186E3D00"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2027</w:t>
            </w:r>
          </w:p>
        </w:tc>
        <w:tc>
          <w:tcPr>
            <w:tcW w:w="1022" w:type="pct"/>
            <w:tcMar>
              <w:left w:w="108" w:type="dxa"/>
              <w:right w:w="108" w:type="dxa"/>
            </w:tcMar>
          </w:tcPr>
          <w:p w14:paraId="5826D62E"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32 289 014,00</w:t>
            </w:r>
          </w:p>
        </w:tc>
        <w:tc>
          <w:tcPr>
            <w:tcW w:w="1022" w:type="pct"/>
            <w:tcMar>
              <w:left w:w="108" w:type="dxa"/>
              <w:right w:w="108" w:type="dxa"/>
            </w:tcMar>
          </w:tcPr>
          <w:p w14:paraId="64F390DB"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30 306 314,00</w:t>
            </w:r>
          </w:p>
        </w:tc>
        <w:tc>
          <w:tcPr>
            <w:tcW w:w="978" w:type="pct"/>
            <w:tcMar>
              <w:left w:w="108" w:type="dxa"/>
              <w:right w:w="108" w:type="dxa"/>
            </w:tcMar>
          </w:tcPr>
          <w:p w14:paraId="6F08FBD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1 982 700,00</w:t>
            </w:r>
          </w:p>
        </w:tc>
        <w:tc>
          <w:tcPr>
            <w:tcW w:w="1015" w:type="pct"/>
            <w:tcMar>
              <w:left w:w="108" w:type="dxa"/>
              <w:right w:w="108" w:type="dxa"/>
            </w:tcMar>
          </w:tcPr>
          <w:p w14:paraId="46B288F3"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1 982 700,00</w:t>
            </w:r>
          </w:p>
        </w:tc>
      </w:tr>
      <w:tr w:rsidR="007E56D3" w:rsidRPr="00261C41" w14:paraId="2972525D" w14:textId="77777777" w:rsidTr="005F38E8">
        <w:tc>
          <w:tcPr>
            <w:tcW w:w="962" w:type="pct"/>
            <w:tcMar>
              <w:left w:w="108" w:type="dxa"/>
              <w:right w:w="108" w:type="dxa"/>
            </w:tcMar>
          </w:tcPr>
          <w:p w14:paraId="169DB5D0"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2028</w:t>
            </w:r>
          </w:p>
        </w:tc>
        <w:tc>
          <w:tcPr>
            <w:tcW w:w="1022" w:type="pct"/>
            <w:tcMar>
              <w:left w:w="108" w:type="dxa"/>
              <w:right w:w="108" w:type="dxa"/>
            </w:tcMar>
          </w:tcPr>
          <w:p w14:paraId="3B54A33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33 096 238,00</w:t>
            </w:r>
          </w:p>
        </w:tc>
        <w:tc>
          <w:tcPr>
            <w:tcW w:w="1022" w:type="pct"/>
            <w:tcMar>
              <w:left w:w="108" w:type="dxa"/>
              <w:right w:w="108" w:type="dxa"/>
            </w:tcMar>
          </w:tcPr>
          <w:p w14:paraId="39052BE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30 824 680,00</w:t>
            </w:r>
          </w:p>
        </w:tc>
        <w:tc>
          <w:tcPr>
            <w:tcW w:w="978" w:type="pct"/>
            <w:tcMar>
              <w:left w:w="108" w:type="dxa"/>
              <w:right w:w="108" w:type="dxa"/>
            </w:tcMar>
          </w:tcPr>
          <w:p w14:paraId="1670F623"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2 271 558,00</w:t>
            </w:r>
          </w:p>
        </w:tc>
        <w:tc>
          <w:tcPr>
            <w:tcW w:w="1015" w:type="pct"/>
            <w:tcMar>
              <w:left w:w="108" w:type="dxa"/>
              <w:right w:w="108" w:type="dxa"/>
            </w:tcMar>
          </w:tcPr>
          <w:p w14:paraId="069F5451"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2 271 558,00</w:t>
            </w:r>
          </w:p>
        </w:tc>
      </w:tr>
      <w:tr w:rsidR="007E56D3" w:rsidRPr="00261C41" w14:paraId="209F0733" w14:textId="77777777" w:rsidTr="005F38E8">
        <w:tc>
          <w:tcPr>
            <w:tcW w:w="962" w:type="pct"/>
            <w:tcMar>
              <w:left w:w="108" w:type="dxa"/>
              <w:right w:w="108" w:type="dxa"/>
            </w:tcMar>
          </w:tcPr>
          <w:p w14:paraId="21CE7056"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2029</w:t>
            </w:r>
          </w:p>
        </w:tc>
        <w:tc>
          <w:tcPr>
            <w:tcW w:w="1022" w:type="pct"/>
            <w:tcMar>
              <w:left w:w="108" w:type="dxa"/>
              <w:right w:w="108" w:type="dxa"/>
            </w:tcMar>
          </w:tcPr>
          <w:p w14:paraId="07B84FB7"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33 923 645,00</w:t>
            </w:r>
          </w:p>
        </w:tc>
        <w:tc>
          <w:tcPr>
            <w:tcW w:w="1022" w:type="pct"/>
            <w:tcMar>
              <w:left w:w="108" w:type="dxa"/>
              <w:right w:w="108" w:type="dxa"/>
            </w:tcMar>
          </w:tcPr>
          <w:p w14:paraId="44D6C2FF"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31 594 298,00</w:t>
            </w:r>
          </w:p>
        </w:tc>
        <w:tc>
          <w:tcPr>
            <w:tcW w:w="978" w:type="pct"/>
            <w:tcMar>
              <w:left w:w="108" w:type="dxa"/>
              <w:right w:w="108" w:type="dxa"/>
            </w:tcMar>
          </w:tcPr>
          <w:p w14:paraId="7E038E3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2 329 347,00</w:t>
            </w:r>
          </w:p>
        </w:tc>
        <w:tc>
          <w:tcPr>
            <w:tcW w:w="1015" w:type="pct"/>
            <w:tcMar>
              <w:left w:w="108" w:type="dxa"/>
              <w:right w:w="108" w:type="dxa"/>
            </w:tcMar>
          </w:tcPr>
          <w:p w14:paraId="6973F586"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2 329 347,00</w:t>
            </w:r>
          </w:p>
        </w:tc>
      </w:tr>
      <w:tr w:rsidR="007E56D3" w:rsidRPr="00261C41" w14:paraId="57AAAD0B" w14:textId="77777777" w:rsidTr="005F38E8">
        <w:tc>
          <w:tcPr>
            <w:tcW w:w="962" w:type="pct"/>
            <w:tcMar>
              <w:left w:w="108" w:type="dxa"/>
              <w:right w:w="108" w:type="dxa"/>
            </w:tcMar>
          </w:tcPr>
          <w:p w14:paraId="0FE3EA20"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2030</w:t>
            </w:r>
          </w:p>
        </w:tc>
        <w:tc>
          <w:tcPr>
            <w:tcW w:w="1022" w:type="pct"/>
            <w:tcMar>
              <w:left w:w="108" w:type="dxa"/>
              <w:right w:w="108" w:type="dxa"/>
            </w:tcMar>
          </w:tcPr>
          <w:p w14:paraId="359982C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34 771 736,00</w:t>
            </w:r>
          </w:p>
        </w:tc>
        <w:tc>
          <w:tcPr>
            <w:tcW w:w="1022" w:type="pct"/>
            <w:tcMar>
              <w:left w:w="108" w:type="dxa"/>
              <w:right w:w="108" w:type="dxa"/>
            </w:tcMar>
          </w:tcPr>
          <w:p w14:paraId="5D39D145"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32 054 160,00</w:t>
            </w:r>
          </w:p>
        </w:tc>
        <w:tc>
          <w:tcPr>
            <w:tcW w:w="978" w:type="pct"/>
            <w:tcMar>
              <w:left w:w="108" w:type="dxa"/>
              <w:right w:w="108" w:type="dxa"/>
            </w:tcMar>
          </w:tcPr>
          <w:p w14:paraId="0E1E35E3"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2 717 576,00</w:t>
            </w:r>
          </w:p>
        </w:tc>
        <w:tc>
          <w:tcPr>
            <w:tcW w:w="1015" w:type="pct"/>
            <w:tcMar>
              <w:left w:w="108" w:type="dxa"/>
              <w:right w:w="108" w:type="dxa"/>
            </w:tcMar>
          </w:tcPr>
          <w:p w14:paraId="3805F59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2 717 576,00</w:t>
            </w:r>
          </w:p>
        </w:tc>
      </w:tr>
      <w:tr w:rsidR="007E56D3" w:rsidRPr="00261C41" w14:paraId="068B666C" w14:textId="77777777" w:rsidTr="005F38E8">
        <w:tc>
          <w:tcPr>
            <w:tcW w:w="962" w:type="pct"/>
            <w:tcMar>
              <w:left w:w="108" w:type="dxa"/>
              <w:right w:w="108" w:type="dxa"/>
            </w:tcMar>
          </w:tcPr>
          <w:p w14:paraId="49BD5204"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2031</w:t>
            </w:r>
          </w:p>
        </w:tc>
        <w:tc>
          <w:tcPr>
            <w:tcW w:w="1022" w:type="pct"/>
            <w:tcMar>
              <w:left w:w="108" w:type="dxa"/>
              <w:right w:w="108" w:type="dxa"/>
            </w:tcMar>
          </w:tcPr>
          <w:p w14:paraId="7F00472E"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35 641 028,00</w:t>
            </w:r>
          </w:p>
        </w:tc>
        <w:tc>
          <w:tcPr>
            <w:tcW w:w="1022" w:type="pct"/>
            <w:tcMar>
              <w:left w:w="108" w:type="dxa"/>
              <w:right w:w="108" w:type="dxa"/>
            </w:tcMar>
          </w:tcPr>
          <w:p w14:paraId="48B7A6D9"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32 533 368,00</w:t>
            </w:r>
          </w:p>
        </w:tc>
        <w:tc>
          <w:tcPr>
            <w:tcW w:w="978" w:type="pct"/>
            <w:tcMar>
              <w:left w:w="108" w:type="dxa"/>
              <w:right w:w="108" w:type="dxa"/>
            </w:tcMar>
          </w:tcPr>
          <w:p w14:paraId="4888A57A"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3 107 660,00</w:t>
            </w:r>
          </w:p>
        </w:tc>
        <w:tc>
          <w:tcPr>
            <w:tcW w:w="1015" w:type="pct"/>
            <w:tcMar>
              <w:left w:w="108" w:type="dxa"/>
              <w:right w:w="108" w:type="dxa"/>
            </w:tcMar>
          </w:tcPr>
          <w:p w14:paraId="3D41209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3 107 660,00</w:t>
            </w:r>
          </w:p>
        </w:tc>
      </w:tr>
      <w:tr w:rsidR="007E56D3" w:rsidRPr="00261C41" w14:paraId="16A65002" w14:textId="77777777" w:rsidTr="005F38E8">
        <w:tc>
          <w:tcPr>
            <w:tcW w:w="962" w:type="pct"/>
            <w:tcMar>
              <w:left w:w="108" w:type="dxa"/>
              <w:right w:w="108" w:type="dxa"/>
            </w:tcMar>
          </w:tcPr>
          <w:p w14:paraId="2CE4E77F"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2032</w:t>
            </w:r>
          </w:p>
        </w:tc>
        <w:tc>
          <w:tcPr>
            <w:tcW w:w="1022" w:type="pct"/>
            <w:tcMar>
              <w:left w:w="108" w:type="dxa"/>
              <w:right w:w="108" w:type="dxa"/>
            </w:tcMar>
          </w:tcPr>
          <w:p w14:paraId="6491B7B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36 532 054,00</w:t>
            </w:r>
          </w:p>
        </w:tc>
        <w:tc>
          <w:tcPr>
            <w:tcW w:w="1022" w:type="pct"/>
            <w:tcMar>
              <w:left w:w="108" w:type="dxa"/>
              <w:right w:w="108" w:type="dxa"/>
            </w:tcMar>
          </w:tcPr>
          <w:p w14:paraId="4541093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33 531 890,00</w:t>
            </w:r>
          </w:p>
        </w:tc>
        <w:tc>
          <w:tcPr>
            <w:tcW w:w="978" w:type="pct"/>
            <w:tcMar>
              <w:left w:w="108" w:type="dxa"/>
              <w:right w:w="108" w:type="dxa"/>
            </w:tcMar>
          </w:tcPr>
          <w:p w14:paraId="6B0B9636"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3 000 164,00</w:t>
            </w:r>
          </w:p>
        </w:tc>
        <w:tc>
          <w:tcPr>
            <w:tcW w:w="1015" w:type="pct"/>
            <w:tcMar>
              <w:left w:w="108" w:type="dxa"/>
              <w:right w:w="108" w:type="dxa"/>
            </w:tcMar>
          </w:tcPr>
          <w:p w14:paraId="368E92E6"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3 000 164,00</w:t>
            </w:r>
          </w:p>
        </w:tc>
      </w:tr>
      <w:tr w:rsidR="007E56D3" w:rsidRPr="00261C41" w14:paraId="6F7AEDA1" w14:textId="77777777" w:rsidTr="005F38E8">
        <w:tc>
          <w:tcPr>
            <w:tcW w:w="962" w:type="pct"/>
            <w:tcMar>
              <w:left w:w="108" w:type="dxa"/>
              <w:right w:w="108" w:type="dxa"/>
            </w:tcMar>
          </w:tcPr>
          <w:p w14:paraId="05581706"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2033</w:t>
            </w:r>
          </w:p>
        </w:tc>
        <w:tc>
          <w:tcPr>
            <w:tcW w:w="1022" w:type="pct"/>
            <w:tcMar>
              <w:left w:w="108" w:type="dxa"/>
              <w:right w:w="108" w:type="dxa"/>
            </w:tcMar>
          </w:tcPr>
          <w:p w14:paraId="1F7800CC"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37 445 355,00</w:t>
            </w:r>
          </w:p>
        </w:tc>
        <w:tc>
          <w:tcPr>
            <w:tcW w:w="1022" w:type="pct"/>
            <w:tcMar>
              <w:left w:w="108" w:type="dxa"/>
              <w:right w:w="108" w:type="dxa"/>
            </w:tcMar>
          </w:tcPr>
          <w:p w14:paraId="59C34DC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34 339 412,00</w:t>
            </w:r>
          </w:p>
        </w:tc>
        <w:tc>
          <w:tcPr>
            <w:tcW w:w="978" w:type="pct"/>
            <w:tcMar>
              <w:left w:w="108" w:type="dxa"/>
              <w:right w:w="108" w:type="dxa"/>
            </w:tcMar>
          </w:tcPr>
          <w:p w14:paraId="348AAF1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3 105 943,00</w:t>
            </w:r>
          </w:p>
        </w:tc>
        <w:tc>
          <w:tcPr>
            <w:tcW w:w="1015" w:type="pct"/>
            <w:tcMar>
              <w:left w:w="108" w:type="dxa"/>
              <w:right w:w="108" w:type="dxa"/>
            </w:tcMar>
          </w:tcPr>
          <w:p w14:paraId="476B03BB"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3 105 943,00</w:t>
            </w:r>
          </w:p>
        </w:tc>
      </w:tr>
      <w:tr w:rsidR="007E56D3" w:rsidRPr="00261C41" w14:paraId="4C506EBD" w14:textId="77777777" w:rsidTr="005F38E8">
        <w:tc>
          <w:tcPr>
            <w:tcW w:w="962" w:type="pct"/>
            <w:tcMar>
              <w:left w:w="108" w:type="dxa"/>
              <w:right w:w="108" w:type="dxa"/>
            </w:tcMar>
          </w:tcPr>
          <w:p w14:paraId="59FB2B61"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2034</w:t>
            </w:r>
          </w:p>
        </w:tc>
        <w:tc>
          <w:tcPr>
            <w:tcW w:w="1022" w:type="pct"/>
            <w:tcMar>
              <w:left w:w="108" w:type="dxa"/>
              <w:right w:w="108" w:type="dxa"/>
            </w:tcMar>
          </w:tcPr>
          <w:p w14:paraId="13BC05A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38 381 490,00</w:t>
            </w:r>
          </w:p>
        </w:tc>
        <w:tc>
          <w:tcPr>
            <w:tcW w:w="1022" w:type="pct"/>
            <w:tcMar>
              <w:left w:w="108" w:type="dxa"/>
              <w:right w:w="108" w:type="dxa"/>
            </w:tcMar>
          </w:tcPr>
          <w:p w14:paraId="2F3284BB"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35 173 356,00</w:t>
            </w:r>
          </w:p>
        </w:tc>
        <w:tc>
          <w:tcPr>
            <w:tcW w:w="978" w:type="pct"/>
            <w:tcMar>
              <w:left w:w="108" w:type="dxa"/>
              <w:right w:w="108" w:type="dxa"/>
            </w:tcMar>
          </w:tcPr>
          <w:p w14:paraId="401ACD54"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3 208 134,00</w:t>
            </w:r>
          </w:p>
        </w:tc>
        <w:tc>
          <w:tcPr>
            <w:tcW w:w="1015" w:type="pct"/>
            <w:tcMar>
              <w:left w:w="108" w:type="dxa"/>
              <w:right w:w="108" w:type="dxa"/>
            </w:tcMar>
          </w:tcPr>
          <w:p w14:paraId="5F43EFB9"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3 208 134,00</w:t>
            </w:r>
          </w:p>
        </w:tc>
      </w:tr>
      <w:tr w:rsidR="007E56D3" w:rsidRPr="00261C41" w14:paraId="4C39D156" w14:textId="77777777" w:rsidTr="005F38E8">
        <w:tc>
          <w:tcPr>
            <w:tcW w:w="962" w:type="pct"/>
            <w:tcMar>
              <w:left w:w="108" w:type="dxa"/>
              <w:right w:w="108" w:type="dxa"/>
            </w:tcMar>
          </w:tcPr>
          <w:p w14:paraId="44B51D08"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2035</w:t>
            </w:r>
          </w:p>
        </w:tc>
        <w:tc>
          <w:tcPr>
            <w:tcW w:w="1022" w:type="pct"/>
            <w:tcMar>
              <w:left w:w="108" w:type="dxa"/>
              <w:right w:w="108" w:type="dxa"/>
            </w:tcMar>
          </w:tcPr>
          <w:p w14:paraId="7327839C"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39 341 027,00</w:t>
            </w:r>
          </w:p>
        </w:tc>
        <w:tc>
          <w:tcPr>
            <w:tcW w:w="1022" w:type="pct"/>
            <w:tcMar>
              <w:left w:w="108" w:type="dxa"/>
              <w:right w:w="108" w:type="dxa"/>
            </w:tcMar>
          </w:tcPr>
          <w:p w14:paraId="4DF0F15B"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36 024 014,00</w:t>
            </w:r>
          </w:p>
        </w:tc>
        <w:tc>
          <w:tcPr>
            <w:tcW w:w="978" w:type="pct"/>
            <w:tcMar>
              <w:left w:w="108" w:type="dxa"/>
              <w:right w:w="108" w:type="dxa"/>
            </w:tcMar>
          </w:tcPr>
          <w:p w14:paraId="2F68094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3 317 013,00</w:t>
            </w:r>
          </w:p>
        </w:tc>
        <w:tc>
          <w:tcPr>
            <w:tcW w:w="1015" w:type="pct"/>
            <w:tcMar>
              <w:left w:w="108" w:type="dxa"/>
              <w:right w:w="108" w:type="dxa"/>
            </w:tcMar>
          </w:tcPr>
          <w:p w14:paraId="45398F43"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3 317 013,00</w:t>
            </w:r>
          </w:p>
        </w:tc>
      </w:tr>
      <w:tr w:rsidR="007E56D3" w:rsidRPr="00261C41" w14:paraId="0EE1DFB2" w14:textId="77777777" w:rsidTr="005F38E8">
        <w:tc>
          <w:tcPr>
            <w:tcW w:w="962" w:type="pct"/>
            <w:tcMar>
              <w:left w:w="108" w:type="dxa"/>
              <w:right w:w="108" w:type="dxa"/>
            </w:tcMar>
          </w:tcPr>
          <w:p w14:paraId="61209B78"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2036</w:t>
            </w:r>
          </w:p>
        </w:tc>
        <w:tc>
          <w:tcPr>
            <w:tcW w:w="1022" w:type="pct"/>
            <w:tcMar>
              <w:left w:w="108" w:type="dxa"/>
              <w:right w:w="108" w:type="dxa"/>
            </w:tcMar>
          </w:tcPr>
          <w:p w14:paraId="3AF93285"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40 324 553,00</w:t>
            </w:r>
          </w:p>
        </w:tc>
        <w:tc>
          <w:tcPr>
            <w:tcW w:w="1022" w:type="pct"/>
            <w:tcMar>
              <w:left w:w="108" w:type="dxa"/>
              <w:right w:w="108" w:type="dxa"/>
            </w:tcMar>
          </w:tcPr>
          <w:p w14:paraId="0513EFB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36 899 363,00</w:t>
            </w:r>
          </w:p>
        </w:tc>
        <w:tc>
          <w:tcPr>
            <w:tcW w:w="978" w:type="pct"/>
            <w:tcMar>
              <w:left w:w="108" w:type="dxa"/>
              <w:right w:w="108" w:type="dxa"/>
            </w:tcMar>
          </w:tcPr>
          <w:p w14:paraId="68DEDE7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3 425 190,00</w:t>
            </w:r>
          </w:p>
        </w:tc>
        <w:tc>
          <w:tcPr>
            <w:tcW w:w="1015" w:type="pct"/>
            <w:tcMar>
              <w:left w:w="108" w:type="dxa"/>
              <w:right w:w="108" w:type="dxa"/>
            </w:tcMar>
          </w:tcPr>
          <w:p w14:paraId="49098FE3"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3 425 190,00</w:t>
            </w:r>
          </w:p>
        </w:tc>
      </w:tr>
      <w:tr w:rsidR="007E56D3" w:rsidRPr="00261C41" w14:paraId="4F05F685" w14:textId="77777777" w:rsidTr="005F38E8">
        <w:tc>
          <w:tcPr>
            <w:tcW w:w="962" w:type="pct"/>
            <w:tcMar>
              <w:left w:w="108" w:type="dxa"/>
              <w:right w:w="108" w:type="dxa"/>
            </w:tcMar>
          </w:tcPr>
          <w:p w14:paraId="0A4F562E"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2037</w:t>
            </w:r>
          </w:p>
        </w:tc>
        <w:tc>
          <w:tcPr>
            <w:tcW w:w="1022" w:type="pct"/>
            <w:tcMar>
              <w:left w:w="108" w:type="dxa"/>
              <w:right w:w="108" w:type="dxa"/>
            </w:tcMar>
          </w:tcPr>
          <w:p w14:paraId="20A9E42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41 332 667,00</w:t>
            </w:r>
          </w:p>
        </w:tc>
        <w:tc>
          <w:tcPr>
            <w:tcW w:w="1022" w:type="pct"/>
            <w:tcMar>
              <w:left w:w="108" w:type="dxa"/>
              <w:right w:w="108" w:type="dxa"/>
            </w:tcMar>
          </w:tcPr>
          <w:p w14:paraId="30A1690E"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37 795 655,00</w:t>
            </w:r>
          </w:p>
        </w:tc>
        <w:tc>
          <w:tcPr>
            <w:tcW w:w="978" w:type="pct"/>
            <w:tcMar>
              <w:left w:w="108" w:type="dxa"/>
              <w:right w:w="108" w:type="dxa"/>
            </w:tcMar>
          </w:tcPr>
          <w:p w14:paraId="3B48183A"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3 537 012,00</w:t>
            </w:r>
          </w:p>
        </w:tc>
        <w:tc>
          <w:tcPr>
            <w:tcW w:w="1015" w:type="pct"/>
            <w:tcMar>
              <w:left w:w="108" w:type="dxa"/>
              <w:right w:w="108" w:type="dxa"/>
            </w:tcMar>
          </w:tcPr>
          <w:p w14:paraId="57D6304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3 537 012,00</w:t>
            </w:r>
          </w:p>
        </w:tc>
      </w:tr>
      <w:tr w:rsidR="007E56D3" w:rsidRPr="00261C41" w14:paraId="706A5FAA" w14:textId="77777777" w:rsidTr="005F38E8">
        <w:tc>
          <w:tcPr>
            <w:tcW w:w="962" w:type="pct"/>
            <w:tcMar>
              <w:left w:w="108" w:type="dxa"/>
              <w:right w:w="108" w:type="dxa"/>
            </w:tcMar>
          </w:tcPr>
          <w:p w14:paraId="32CF1C0B"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2038</w:t>
            </w:r>
          </w:p>
        </w:tc>
        <w:tc>
          <w:tcPr>
            <w:tcW w:w="1022" w:type="pct"/>
            <w:tcMar>
              <w:left w:w="108" w:type="dxa"/>
              <w:right w:w="108" w:type="dxa"/>
            </w:tcMar>
          </w:tcPr>
          <w:p w14:paraId="4E738FA9"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42 365 984,00</w:t>
            </w:r>
          </w:p>
        </w:tc>
        <w:tc>
          <w:tcPr>
            <w:tcW w:w="1022" w:type="pct"/>
            <w:tcMar>
              <w:left w:w="108" w:type="dxa"/>
              <w:right w:w="108" w:type="dxa"/>
            </w:tcMar>
          </w:tcPr>
          <w:p w14:paraId="425B330A"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38 715 226,00</w:t>
            </w:r>
          </w:p>
        </w:tc>
        <w:tc>
          <w:tcPr>
            <w:tcW w:w="978" w:type="pct"/>
            <w:tcMar>
              <w:left w:w="108" w:type="dxa"/>
              <w:right w:w="108" w:type="dxa"/>
            </w:tcMar>
          </w:tcPr>
          <w:p w14:paraId="3FC1EF0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3 650 758,00</w:t>
            </w:r>
          </w:p>
        </w:tc>
        <w:tc>
          <w:tcPr>
            <w:tcW w:w="1015" w:type="pct"/>
            <w:tcMar>
              <w:left w:w="108" w:type="dxa"/>
              <w:right w:w="108" w:type="dxa"/>
            </w:tcMar>
          </w:tcPr>
          <w:p w14:paraId="0DFAFA8B"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3 650 758,00</w:t>
            </w:r>
          </w:p>
        </w:tc>
      </w:tr>
    </w:tbl>
    <w:p w14:paraId="57C077D2" w14:textId="77777777" w:rsidR="005F38E8" w:rsidRDefault="005F38E8" w:rsidP="005F38E8">
      <w:pPr>
        <w:pStyle w:val="Nagwek1"/>
        <w:keepNext/>
        <w:spacing w:after="160" w:line="360" w:lineRule="auto"/>
        <w:rPr>
          <w:rFonts w:ascii="Century" w:hAnsi="Century"/>
          <w:b/>
          <w:bCs w:val="0"/>
          <w:sz w:val="22"/>
          <w:szCs w:val="22"/>
        </w:rPr>
      </w:pPr>
    </w:p>
    <w:p w14:paraId="58707638" w14:textId="5EB819BE" w:rsidR="007E56D3" w:rsidRPr="00261C41" w:rsidRDefault="007E56D3" w:rsidP="00183544">
      <w:pPr>
        <w:pStyle w:val="Nagwek1"/>
        <w:keepNext/>
        <w:spacing w:after="160" w:line="360" w:lineRule="auto"/>
        <w:jc w:val="both"/>
        <w:rPr>
          <w:rFonts w:ascii="Century" w:hAnsi="Century" w:cs="Calibri"/>
          <w:b/>
          <w:bCs w:val="0"/>
          <w:sz w:val="22"/>
          <w:szCs w:val="22"/>
        </w:rPr>
      </w:pPr>
      <w:r w:rsidRPr="00261C41">
        <w:rPr>
          <w:rFonts w:ascii="Century" w:hAnsi="Century"/>
          <w:b/>
          <w:bCs w:val="0"/>
          <w:sz w:val="22"/>
          <w:szCs w:val="22"/>
        </w:rPr>
        <w:t>8. Relacja z art. 243 ustawy o finansach publicznych</w:t>
      </w:r>
    </w:p>
    <w:p w14:paraId="6D74149D" w14:textId="0C8B36D4" w:rsidR="007E56D3" w:rsidRDefault="007E56D3" w:rsidP="00183544">
      <w:pPr>
        <w:spacing w:line="360" w:lineRule="auto"/>
        <w:jc w:val="both"/>
        <w:rPr>
          <w:rFonts w:ascii="Century" w:hAnsi="Century"/>
          <w:sz w:val="20"/>
          <w:szCs w:val="20"/>
        </w:rPr>
      </w:pPr>
      <w:r w:rsidRPr="00261C41">
        <w:rPr>
          <w:rFonts w:ascii="Century" w:hAnsi="Century"/>
          <w:sz w:val="20"/>
          <w:szCs w:val="20"/>
        </w:rPr>
        <w:t>Informację na temat kształtowania się relacji z art. 243 ustawy o finansach publicznych w okresie prognozy Gminy Trzciel przedstawiono w tabeli poniżej.</w:t>
      </w:r>
    </w:p>
    <w:p w14:paraId="53C31AE9" w14:textId="77777777" w:rsidR="004768C8" w:rsidRPr="00261C41" w:rsidRDefault="004768C8" w:rsidP="00183544">
      <w:pPr>
        <w:spacing w:line="360" w:lineRule="auto"/>
        <w:jc w:val="both"/>
        <w:rPr>
          <w:rFonts w:ascii="Century" w:hAnsi="Century" w:cs="Calibri"/>
          <w:sz w:val="20"/>
          <w:szCs w:val="20"/>
        </w:rPr>
      </w:pPr>
    </w:p>
    <w:p w14:paraId="1947B5D0" w14:textId="590E13AC" w:rsidR="007E56D3" w:rsidRPr="00261C41" w:rsidRDefault="007E56D3" w:rsidP="00183544">
      <w:pPr>
        <w:pStyle w:val="TableCaption"/>
        <w:keepNext/>
        <w:spacing w:line="360" w:lineRule="auto"/>
        <w:jc w:val="both"/>
        <w:rPr>
          <w:rFonts w:ascii="Century" w:hAnsi="Century" w:cs="Calibri"/>
          <w:b/>
          <w:bCs w:val="0"/>
          <w:sz w:val="20"/>
        </w:rPr>
      </w:pPr>
      <w:r w:rsidRPr="00261C41">
        <w:rPr>
          <w:rFonts w:ascii="Century" w:hAnsi="Century"/>
          <w:b/>
          <w:bCs w:val="0"/>
          <w:sz w:val="20"/>
        </w:rPr>
        <w:lastRenderedPageBreak/>
        <w:t xml:space="preserve">Tabela </w:t>
      </w:r>
      <w:r w:rsidR="005F38E8">
        <w:rPr>
          <w:rFonts w:ascii="Century" w:hAnsi="Century"/>
          <w:b/>
          <w:bCs w:val="0"/>
          <w:sz w:val="20"/>
        </w:rPr>
        <w:t>6</w:t>
      </w:r>
      <w:r w:rsidRPr="00261C41">
        <w:rPr>
          <w:rFonts w:ascii="Century" w:hAnsi="Century"/>
          <w:b/>
          <w:bCs w:val="0"/>
          <w:sz w:val="20"/>
        </w:rPr>
        <w:t>. Kształtowanie się relacji z art. 243 ust. 1 ustawy o finansach publicznych</w:t>
      </w:r>
    </w:p>
    <w:tbl>
      <w:tblPr>
        <w:tblStyle w:val="Tabela-Prosty1"/>
        <w:tblW w:w="4891" w:type="pct"/>
        <w:tblInd w:w="108" w:type="dxa"/>
        <w:tblCellMar>
          <w:left w:w="108" w:type="dxa"/>
          <w:right w:w="108" w:type="dxa"/>
        </w:tblCellMar>
        <w:tblLook w:val="04A0" w:firstRow="1" w:lastRow="0" w:firstColumn="1" w:lastColumn="0" w:noHBand="0" w:noVBand="1"/>
      </w:tblPr>
      <w:tblGrid>
        <w:gridCol w:w="1349"/>
        <w:gridCol w:w="1514"/>
        <w:gridCol w:w="1448"/>
        <w:gridCol w:w="1459"/>
        <w:gridCol w:w="1755"/>
        <w:gridCol w:w="1547"/>
      </w:tblGrid>
      <w:tr w:rsidR="007E56D3" w:rsidRPr="00261C41" w14:paraId="179D4806" w14:textId="77777777" w:rsidTr="001D2A53">
        <w:tc>
          <w:tcPr>
            <w:tcW w:w="761" w:type="pct"/>
            <w:tcMar>
              <w:left w:w="108" w:type="dxa"/>
              <w:right w:w="108" w:type="dxa"/>
            </w:tcMar>
            <w:vAlign w:val="center"/>
          </w:tcPr>
          <w:p w14:paraId="6F1699E4"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Rok</w:t>
            </w:r>
          </w:p>
        </w:tc>
        <w:tc>
          <w:tcPr>
            <w:tcW w:w="834" w:type="pct"/>
            <w:tcMar>
              <w:left w:w="108" w:type="dxa"/>
              <w:right w:w="108" w:type="dxa"/>
            </w:tcMar>
            <w:vAlign w:val="center"/>
          </w:tcPr>
          <w:p w14:paraId="511ABBE9"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Obsługa zadłużenia (fakt. i plan. po wyłączeniach)</w:t>
            </w:r>
          </w:p>
        </w:tc>
        <w:tc>
          <w:tcPr>
            <w:tcW w:w="815" w:type="pct"/>
            <w:tcMar>
              <w:left w:w="108" w:type="dxa"/>
              <w:right w:w="108" w:type="dxa"/>
            </w:tcMar>
            <w:vAlign w:val="center"/>
          </w:tcPr>
          <w:p w14:paraId="09A7ABB2"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Maksymalna obsługa zadłużenia (wg planu po III kwartale)</w:t>
            </w:r>
          </w:p>
        </w:tc>
        <w:tc>
          <w:tcPr>
            <w:tcW w:w="821" w:type="pct"/>
            <w:tcMar>
              <w:left w:w="108" w:type="dxa"/>
              <w:right w:w="108" w:type="dxa"/>
            </w:tcMar>
            <w:vAlign w:val="center"/>
          </w:tcPr>
          <w:p w14:paraId="00727B2C"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Zachowanie relacji z art. 243 (w oparciu o plan po 3 kwartale)</w:t>
            </w:r>
          </w:p>
        </w:tc>
        <w:tc>
          <w:tcPr>
            <w:tcW w:w="967" w:type="pct"/>
            <w:tcMar>
              <w:left w:w="108" w:type="dxa"/>
              <w:right w:w="108" w:type="dxa"/>
            </w:tcMar>
            <w:vAlign w:val="center"/>
          </w:tcPr>
          <w:p w14:paraId="42EC009B"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Maksymalna obsługa zadłużenia (wg przewidywanego wykonania)</w:t>
            </w:r>
          </w:p>
        </w:tc>
        <w:tc>
          <w:tcPr>
            <w:tcW w:w="801" w:type="pct"/>
            <w:tcMar>
              <w:left w:w="108" w:type="dxa"/>
              <w:right w:w="108" w:type="dxa"/>
            </w:tcMar>
            <w:vAlign w:val="center"/>
          </w:tcPr>
          <w:p w14:paraId="72E007EF" w14:textId="77777777" w:rsidR="007E56D3" w:rsidRPr="00261C41" w:rsidRDefault="007E56D3" w:rsidP="005F38E8">
            <w:pPr>
              <w:pStyle w:val="TableHeading"/>
              <w:spacing w:line="276" w:lineRule="auto"/>
              <w:jc w:val="center"/>
              <w:rPr>
                <w:rFonts w:ascii="Century" w:hAnsi="Century" w:cs="Calibri"/>
                <w:b/>
                <w:bCs w:val="0"/>
                <w:sz w:val="20"/>
              </w:rPr>
            </w:pPr>
            <w:r w:rsidRPr="00261C41">
              <w:rPr>
                <w:rFonts w:ascii="Century" w:hAnsi="Century"/>
                <w:b/>
                <w:bCs w:val="0"/>
                <w:sz w:val="20"/>
              </w:rPr>
              <w:t>Zachowanie relacji z art. 243 (w oparciu o przewidywane wykonanie)</w:t>
            </w:r>
          </w:p>
        </w:tc>
      </w:tr>
      <w:tr w:rsidR="007E56D3" w:rsidRPr="00261C41" w14:paraId="32686862" w14:textId="77777777" w:rsidTr="001D2A53">
        <w:tc>
          <w:tcPr>
            <w:tcW w:w="761" w:type="pct"/>
            <w:tcMar>
              <w:left w:w="108" w:type="dxa"/>
              <w:right w:w="108" w:type="dxa"/>
            </w:tcMar>
          </w:tcPr>
          <w:p w14:paraId="07E0CCC0"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2023</w:t>
            </w:r>
          </w:p>
        </w:tc>
        <w:tc>
          <w:tcPr>
            <w:tcW w:w="834" w:type="pct"/>
            <w:tcMar>
              <w:left w:w="108" w:type="dxa"/>
              <w:right w:w="108" w:type="dxa"/>
            </w:tcMar>
          </w:tcPr>
          <w:p w14:paraId="561B889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5,89%</w:t>
            </w:r>
          </w:p>
        </w:tc>
        <w:tc>
          <w:tcPr>
            <w:tcW w:w="815" w:type="pct"/>
            <w:tcMar>
              <w:left w:w="108" w:type="dxa"/>
              <w:right w:w="108" w:type="dxa"/>
            </w:tcMar>
          </w:tcPr>
          <w:p w14:paraId="7952D99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13,64%</w:t>
            </w:r>
          </w:p>
        </w:tc>
        <w:tc>
          <w:tcPr>
            <w:tcW w:w="821" w:type="pct"/>
            <w:tcMar>
              <w:left w:w="108" w:type="dxa"/>
              <w:right w:w="108" w:type="dxa"/>
            </w:tcMar>
          </w:tcPr>
          <w:p w14:paraId="7A72A1E3"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1AB9837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15,38%</w:t>
            </w:r>
          </w:p>
        </w:tc>
        <w:tc>
          <w:tcPr>
            <w:tcW w:w="801" w:type="pct"/>
            <w:tcMar>
              <w:left w:w="108" w:type="dxa"/>
              <w:right w:w="108" w:type="dxa"/>
            </w:tcMar>
          </w:tcPr>
          <w:p w14:paraId="59F54BC3"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3A441E40" w14:textId="77777777" w:rsidTr="001D2A53">
        <w:tc>
          <w:tcPr>
            <w:tcW w:w="761" w:type="pct"/>
            <w:tcMar>
              <w:left w:w="108" w:type="dxa"/>
              <w:right w:w="108" w:type="dxa"/>
            </w:tcMar>
          </w:tcPr>
          <w:p w14:paraId="6A794AB2"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2024</w:t>
            </w:r>
          </w:p>
        </w:tc>
        <w:tc>
          <w:tcPr>
            <w:tcW w:w="834" w:type="pct"/>
            <w:tcMar>
              <w:left w:w="108" w:type="dxa"/>
              <w:right w:w="108" w:type="dxa"/>
            </w:tcMar>
          </w:tcPr>
          <w:p w14:paraId="4A33795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5,59%</w:t>
            </w:r>
          </w:p>
        </w:tc>
        <w:tc>
          <w:tcPr>
            <w:tcW w:w="815" w:type="pct"/>
            <w:tcMar>
              <w:left w:w="108" w:type="dxa"/>
              <w:right w:w="108" w:type="dxa"/>
            </w:tcMar>
          </w:tcPr>
          <w:p w14:paraId="33C3B17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11,91%</w:t>
            </w:r>
          </w:p>
        </w:tc>
        <w:tc>
          <w:tcPr>
            <w:tcW w:w="821" w:type="pct"/>
            <w:tcMar>
              <w:left w:w="108" w:type="dxa"/>
              <w:right w:w="108" w:type="dxa"/>
            </w:tcMar>
          </w:tcPr>
          <w:p w14:paraId="757AE88E"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07388BBF"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13,65%</w:t>
            </w:r>
          </w:p>
        </w:tc>
        <w:tc>
          <w:tcPr>
            <w:tcW w:w="801" w:type="pct"/>
            <w:tcMar>
              <w:left w:w="108" w:type="dxa"/>
              <w:right w:w="108" w:type="dxa"/>
            </w:tcMar>
          </w:tcPr>
          <w:p w14:paraId="1F55D11E"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514A3E6F" w14:textId="77777777" w:rsidTr="001D2A53">
        <w:tc>
          <w:tcPr>
            <w:tcW w:w="761" w:type="pct"/>
            <w:tcMar>
              <w:left w:w="108" w:type="dxa"/>
              <w:right w:w="108" w:type="dxa"/>
            </w:tcMar>
          </w:tcPr>
          <w:p w14:paraId="6249597C"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2025</w:t>
            </w:r>
          </w:p>
        </w:tc>
        <w:tc>
          <w:tcPr>
            <w:tcW w:w="834" w:type="pct"/>
            <w:tcMar>
              <w:left w:w="108" w:type="dxa"/>
              <w:right w:w="108" w:type="dxa"/>
            </w:tcMar>
          </w:tcPr>
          <w:p w14:paraId="32FADAE4"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4,88%</w:t>
            </w:r>
          </w:p>
        </w:tc>
        <w:tc>
          <w:tcPr>
            <w:tcW w:w="815" w:type="pct"/>
            <w:tcMar>
              <w:left w:w="108" w:type="dxa"/>
              <w:right w:w="108" w:type="dxa"/>
            </w:tcMar>
          </w:tcPr>
          <w:p w14:paraId="5CAC256F"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11,16%</w:t>
            </w:r>
          </w:p>
        </w:tc>
        <w:tc>
          <w:tcPr>
            <w:tcW w:w="821" w:type="pct"/>
            <w:tcMar>
              <w:left w:w="108" w:type="dxa"/>
              <w:right w:w="108" w:type="dxa"/>
            </w:tcMar>
          </w:tcPr>
          <w:p w14:paraId="5324ED89"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4AB9954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12,90%</w:t>
            </w:r>
          </w:p>
        </w:tc>
        <w:tc>
          <w:tcPr>
            <w:tcW w:w="801" w:type="pct"/>
            <w:tcMar>
              <w:left w:w="108" w:type="dxa"/>
              <w:right w:w="108" w:type="dxa"/>
            </w:tcMar>
          </w:tcPr>
          <w:p w14:paraId="4CA0D64E"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1ED82C19" w14:textId="77777777" w:rsidTr="001D2A53">
        <w:tc>
          <w:tcPr>
            <w:tcW w:w="761" w:type="pct"/>
            <w:tcMar>
              <w:left w:w="108" w:type="dxa"/>
              <w:right w:w="108" w:type="dxa"/>
            </w:tcMar>
          </w:tcPr>
          <w:p w14:paraId="284A08D5"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2026</w:t>
            </w:r>
          </w:p>
        </w:tc>
        <w:tc>
          <w:tcPr>
            <w:tcW w:w="834" w:type="pct"/>
            <w:tcMar>
              <w:left w:w="108" w:type="dxa"/>
              <w:right w:w="108" w:type="dxa"/>
            </w:tcMar>
          </w:tcPr>
          <w:p w14:paraId="3B41AB6C"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5,23%</w:t>
            </w:r>
          </w:p>
        </w:tc>
        <w:tc>
          <w:tcPr>
            <w:tcW w:w="815" w:type="pct"/>
            <w:tcMar>
              <w:left w:w="108" w:type="dxa"/>
              <w:right w:w="108" w:type="dxa"/>
            </w:tcMar>
          </w:tcPr>
          <w:p w14:paraId="615A121E"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8,67%</w:t>
            </w:r>
          </w:p>
        </w:tc>
        <w:tc>
          <w:tcPr>
            <w:tcW w:w="821" w:type="pct"/>
            <w:tcMar>
              <w:left w:w="108" w:type="dxa"/>
              <w:right w:w="108" w:type="dxa"/>
            </w:tcMar>
          </w:tcPr>
          <w:p w14:paraId="5775F877"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63C9D8D3"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10,46%</w:t>
            </w:r>
          </w:p>
        </w:tc>
        <w:tc>
          <w:tcPr>
            <w:tcW w:w="801" w:type="pct"/>
            <w:tcMar>
              <w:left w:w="108" w:type="dxa"/>
              <w:right w:w="108" w:type="dxa"/>
            </w:tcMar>
          </w:tcPr>
          <w:p w14:paraId="5190108F"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45998523" w14:textId="77777777" w:rsidTr="001D2A53">
        <w:tc>
          <w:tcPr>
            <w:tcW w:w="761" w:type="pct"/>
            <w:tcMar>
              <w:left w:w="108" w:type="dxa"/>
              <w:right w:w="108" w:type="dxa"/>
            </w:tcMar>
          </w:tcPr>
          <w:p w14:paraId="66206F01"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2027</w:t>
            </w:r>
          </w:p>
        </w:tc>
        <w:tc>
          <w:tcPr>
            <w:tcW w:w="834" w:type="pct"/>
            <w:tcMar>
              <w:left w:w="108" w:type="dxa"/>
              <w:right w:w="108" w:type="dxa"/>
            </w:tcMar>
          </w:tcPr>
          <w:p w14:paraId="054F74D9"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5,58%</w:t>
            </w:r>
          </w:p>
        </w:tc>
        <w:tc>
          <w:tcPr>
            <w:tcW w:w="815" w:type="pct"/>
            <w:tcMar>
              <w:left w:w="108" w:type="dxa"/>
              <w:right w:w="108" w:type="dxa"/>
            </w:tcMar>
          </w:tcPr>
          <w:p w14:paraId="5442697F"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8,09%</w:t>
            </w:r>
          </w:p>
        </w:tc>
        <w:tc>
          <w:tcPr>
            <w:tcW w:w="821" w:type="pct"/>
            <w:tcMar>
              <w:left w:w="108" w:type="dxa"/>
              <w:right w:w="108" w:type="dxa"/>
            </w:tcMar>
          </w:tcPr>
          <w:p w14:paraId="12D5FD9D"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366F26A9"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9,87%</w:t>
            </w:r>
          </w:p>
        </w:tc>
        <w:tc>
          <w:tcPr>
            <w:tcW w:w="801" w:type="pct"/>
            <w:tcMar>
              <w:left w:w="108" w:type="dxa"/>
              <w:right w:w="108" w:type="dxa"/>
            </w:tcMar>
          </w:tcPr>
          <w:p w14:paraId="612AE4D4"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7568FF9B" w14:textId="77777777" w:rsidTr="001D2A53">
        <w:tc>
          <w:tcPr>
            <w:tcW w:w="761" w:type="pct"/>
            <w:tcMar>
              <w:left w:w="108" w:type="dxa"/>
              <w:right w:w="108" w:type="dxa"/>
            </w:tcMar>
          </w:tcPr>
          <w:p w14:paraId="2D956DAD"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2028</w:t>
            </w:r>
          </w:p>
        </w:tc>
        <w:tc>
          <w:tcPr>
            <w:tcW w:w="834" w:type="pct"/>
            <w:tcMar>
              <w:left w:w="108" w:type="dxa"/>
              <w:right w:w="108" w:type="dxa"/>
            </w:tcMar>
          </w:tcPr>
          <w:p w14:paraId="589D5725"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5,43%</w:t>
            </w:r>
          </w:p>
        </w:tc>
        <w:tc>
          <w:tcPr>
            <w:tcW w:w="815" w:type="pct"/>
            <w:tcMar>
              <w:left w:w="108" w:type="dxa"/>
              <w:right w:w="108" w:type="dxa"/>
            </w:tcMar>
          </w:tcPr>
          <w:p w14:paraId="2725035B"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7,13%</w:t>
            </w:r>
          </w:p>
        </w:tc>
        <w:tc>
          <w:tcPr>
            <w:tcW w:w="821" w:type="pct"/>
            <w:tcMar>
              <w:left w:w="108" w:type="dxa"/>
              <w:right w:w="108" w:type="dxa"/>
            </w:tcMar>
          </w:tcPr>
          <w:p w14:paraId="51FE7686"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2A15E2E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8,91%</w:t>
            </w:r>
          </w:p>
        </w:tc>
        <w:tc>
          <w:tcPr>
            <w:tcW w:w="801" w:type="pct"/>
            <w:tcMar>
              <w:left w:w="108" w:type="dxa"/>
              <w:right w:w="108" w:type="dxa"/>
            </w:tcMar>
          </w:tcPr>
          <w:p w14:paraId="24AF5552"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20C73EAC" w14:textId="77777777" w:rsidTr="001D2A53">
        <w:tc>
          <w:tcPr>
            <w:tcW w:w="761" w:type="pct"/>
            <w:tcMar>
              <w:left w:w="108" w:type="dxa"/>
              <w:right w:w="108" w:type="dxa"/>
            </w:tcMar>
          </w:tcPr>
          <w:p w14:paraId="5822CED3"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2029</w:t>
            </w:r>
          </w:p>
        </w:tc>
        <w:tc>
          <w:tcPr>
            <w:tcW w:w="834" w:type="pct"/>
            <w:tcMar>
              <w:left w:w="108" w:type="dxa"/>
              <w:right w:w="108" w:type="dxa"/>
            </w:tcMar>
          </w:tcPr>
          <w:p w14:paraId="4A6555AF"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4,74%</w:t>
            </w:r>
          </w:p>
        </w:tc>
        <w:tc>
          <w:tcPr>
            <w:tcW w:w="815" w:type="pct"/>
            <w:tcMar>
              <w:left w:w="108" w:type="dxa"/>
              <w:right w:w="108" w:type="dxa"/>
            </w:tcMar>
          </w:tcPr>
          <w:p w14:paraId="2C94FD0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5,47%</w:t>
            </w:r>
          </w:p>
        </w:tc>
        <w:tc>
          <w:tcPr>
            <w:tcW w:w="821" w:type="pct"/>
            <w:tcMar>
              <w:left w:w="108" w:type="dxa"/>
              <w:right w:w="108" w:type="dxa"/>
            </w:tcMar>
          </w:tcPr>
          <w:p w14:paraId="6ABBE94E"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45F24787"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7,26%</w:t>
            </w:r>
          </w:p>
        </w:tc>
        <w:tc>
          <w:tcPr>
            <w:tcW w:w="801" w:type="pct"/>
            <w:tcMar>
              <w:left w:w="108" w:type="dxa"/>
              <w:right w:w="108" w:type="dxa"/>
            </w:tcMar>
          </w:tcPr>
          <w:p w14:paraId="7AAED8FC"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0B480C6A" w14:textId="77777777" w:rsidTr="001D2A53">
        <w:tc>
          <w:tcPr>
            <w:tcW w:w="761" w:type="pct"/>
            <w:tcMar>
              <w:left w:w="108" w:type="dxa"/>
              <w:right w:w="108" w:type="dxa"/>
            </w:tcMar>
          </w:tcPr>
          <w:p w14:paraId="16BC2188"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2030</w:t>
            </w:r>
          </w:p>
        </w:tc>
        <w:tc>
          <w:tcPr>
            <w:tcW w:w="834" w:type="pct"/>
            <w:tcMar>
              <w:left w:w="108" w:type="dxa"/>
              <w:right w:w="108" w:type="dxa"/>
            </w:tcMar>
          </w:tcPr>
          <w:p w14:paraId="4A5F181A"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4,88%</w:t>
            </w:r>
          </w:p>
        </w:tc>
        <w:tc>
          <w:tcPr>
            <w:tcW w:w="815" w:type="pct"/>
            <w:tcMar>
              <w:left w:w="108" w:type="dxa"/>
              <w:right w:w="108" w:type="dxa"/>
            </w:tcMar>
          </w:tcPr>
          <w:p w14:paraId="3D2C720A"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6,94%</w:t>
            </w:r>
          </w:p>
        </w:tc>
        <w:tc>
          <w:tcPr>
            <w:tcW w:w="821" w:type="pct"/>
            <w:tcMar>
              <w:left w:w="108" w:type="dxa"/>
              <w:right w:w="108" w:type="dxa"/>
            </w:tcMar>
          </w:tcPr>
          <w:p w14:paraId="6D1FC63E"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770525D7"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6,94%</w:t>
            </w:r>
          </w:p>
        </w:tc>
        <w:tc>
          <w:tcPr>
            <w:tcW w:w="801" w:type="pct"/>
            <w:tcMar>
              <w:left w:w="108" w:type="dxa"/>
              <w:right w:w="108" w:type="dxa"/>
            </w:tcMar>
          </w:tcPr>
          <w:p w14:paraId="1B89A9E9"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502D2C4E" w14:textId="77777777" w:rsidTr="001D2A53">
        <w:tc>
          <w:tcPr>
            <w:tcW w:w="761" w:type="pct"/>
            <w:tcMar>
              <w:left w:w="108" w:type="dxa"/>
              <w:right w:w="108" w:type="dxa"/>
            </w:tcMar>
          </w:tcPr>
          <w:p w14:paraId="6610FDE5"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2031</w:t>
            </w:r>
          </w:p>
        </w:tc>
        <w:tc>
          <w:tcPr>
            <w:tcW w:w="834" w:type="pct"/>
            <w:tcMar>
              <w:left w:w="108" w:type="dxa"/>
              <w:right w:w="108" w:type="dxa"/>
            </w:tcMar>
          </w:tcPr>
          <w:p w14:paraId="34E92DA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5,33%</w:t>
            </w:r>
          </w:p>
        </w:tc>
        <w:tc>
          <w:tcPr>
            <w:tcW w:w="815" w:type="pct"/>
            <w:tcMar>
              <w:left w:w="108" w:type="dxa"/>
              <w:right w:w="108" w:type="dxa"/>
            </w:tcMar>
          </w:tcPr>
          <w:p w14:paraId="70895C59"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8,70%</w:t>
            </w:r>
          </w:p>
        </w:tc>
        <w:tc>
          <w:tcPr>
            <w:tcW w:w="821" w:type="pct"/>
            <w:tcMar>
              <w:left w:w="108" w:type="dxa"/>
              <w:right w:w="108" w:type="dxa"/>
            </w:tcMar>
          </w:tcPr>
          <w:p w14:paraId="60A8A5C3"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40EC052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8,70%</w:t>
            </w:r>
          </w:p>
        </w:tc>
        <w:tc>
          <w:tcPr>
            <w:tcW w:w="801" w:type="pct"/>
            <w:tcMar>
              <w:left w:w="108" w:type="dxa"/>
              <w:right w:w="108" w:type="dxa"/>
            </w:tcMar>
          </w:tcPr>
          <w:p w14:paraId="398F794C"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00552164" w14:textId="77777777" w:rsidTr="001D2A53">
        <w:tc>
          <w:tcPr>
            <w:tcW w:w="761" w:type="pct"/>
            <w:tcMar>
              <w:left w:w="108" w:type="dxa"/>
              <w:right w:w="108" w:type="dxa"/>
            </w:tcMar>
          </w:tcPr>
          <w:p w14:paraId="7009820D"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2032</w:t>
            </w:r>
          </w:p>
        </w:tc>
        <w:tc>
          <w:tcPr>
            <w:tcW w:w="834" w:type="pct"/>
            <w:tcMar>
              <w:left w:w="108" w:type="dxa"/>
              <w:right w:w="108" w:type="dxa"/>
            </w:tcMar>
          </w:tcPr>
          <w:p w14:paraId="37CF252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2,47%</w:t>
            </w:r>
          </w:p>
        </w:tc>
        <w:tc>
          <w:tcPr>
            <w:tcW w:w="815" w:type="pct"/>
            <w:tcMar>
              <w:left w:w="108" w:type="dxa"/>
              <w:right w:w="108" w:type="dxa"/>
            </w:tcMar>
          </w:tcPr>
          <w:p w14:paraId="20D05F4C"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9,22%</w:t>
            </w:r>
          </w:p>
        </w:tc>
        <w:tc>
          <w:tcPr>
            <w:tcW w:w="821" w:type="pct"/>
            <w:tcMar>
              <w:left w:w="108" w:type="dxa"/>
              <w:right w:w="108" w:type="dxa"/>
            </w:tcMar>
          </w:tcPr>
          <w:p w14:paraId="74E4A732"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02EF1909"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9,22%</w:t>
            </w:r>
          </w:p>
        </w:tc>
        <w:tc>
          <w:tcPr>
            <w:tcW w:w="801" w:type="pct"/>
            <w:tcMar>
              <w:left w:w="108" w:type="dxa"/>
              <w:right w:w="108" w:type="dxa"/>
            </w:tcMar>
          </w:tcPr>
          <w:p w14:paraId="29A02917"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7AB413FF" w14:textId="77777777" w:rsidTr="001D2A53">
        <w:tc>
          <w:tcPr>
            <w:tcW w:w="761" w:type="pct"/>
            <w:tcMar>
              <w:left w:w="108" w:type="dxa"/>
              <w:right w:w="108" w:type="dxa"/>
            </w:tcMar>
          </w:tcPr>
          <w:p w14:paraId="5CEEAF20"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2033</w:t>
            </w:r>
          </w:p>
        </w:tc>
        <w:tc>
          <w:tcPr>
            <w:tcW w:w="834" w:type="pct"/>
            <w:tcMar>
              <w:left w:w="108" w:type="dxa"/>
              <w:right w:w="108" w:type="dxa"/>
            </w:tcMar>
          </w:tcPr>
          <w:p w14:paraId="4BC1488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2,33%</w:t>
            </w:r>
          </w:p>
        </w:tc>
        <w:tc>
          <w:tcPr>
            <w:tcW w:w="815" w:type="pct"/>
            <w:tcMar>
              <w:left w:w="108" w:type="dxa"/>
              <w:right w:w="108" w:type="dxa"/>
            </w:tcMar>
          </w:tcPr>
          <w:p w14:paraId="5107319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9,65%</w:t>
            </w:r>
          </w:p>
        </w:tc>
        <w:tc>
          <w:tcPr>
            <w:tcW w:w="821" w:type="pct"/>
            <w:tcMar>
              <w:left w:w="108" w:type="dxa"/>
              <w:right w:w="108" w:type="dxa"/>
            </w:tcMar>
          </w:tcPr>
          <w:p w14:paraId="1C072915"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59BFC453"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9,65%</w:t>
            </w:r>
          </w:p>
        </w:tc>
        <w:tc>
          <w:tcPr>
            <w:tcW w:w="801" w:type="pct"/>
            <w:tcMar>
              <w:left w:w="108" w:type="dxa"/>
              <w:right w:w="108" w:type="dxa"/>
            </w:tcMar>
          </w:tcPr>
          <w:p w14:paraId="2CDB78BF"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04B0BE3B" w14:textId="77777777" w:rsidTr="001D2A53">
        <w:tc>
          <w:tcPr>
            <w:tcW w:w="761" w:type="pct"/>
            <w:tcMar>
              <w:left w:w="108" w:type="dxa"/>
              <w:right w:w="108" w:type="dxa"/>
            </w:tcMar>
          </w:tcPr>
          <w:p w14:paraId="69700AF4"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2034</w:t>
            </w:r>
          </w:p>
        </w:tc>
        <w:tc>
          <w:tcPr>
            <w:tcW w:w="834" w:type="pct"/>
            <w:tcMar>
              <w:left w:w="108" w:type="dxa"/>
              <w:right w:w="108" w:type="dxa"/>
            </w:tcMar>
          </w:tcPr>
          <w:p w14:paraId="0A61337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2,20%</w:t>
            </w:r>
          </w:p>
        </w:tc>
        <w:tc>
          <w:tcPr>
            <w:tcW w:w="815" w:type="pct"/>
            <w:tcMar>
              <w:left w:w="108" w:type="dxa"/>
              <w:right w:w="108" w:type="dxa"/>
            </w:tcMar>
          </w:tcPr>
          <w:p w14:paraId="4DFF591B"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9,86%</w:t>
            </w:r>
          </w:p>
        </w:tc>
        <w:tc>
          <w:tcPr>
            <w:tcW w:w="821" w:type="pct"/>
            <w:tcMar>
              <w:left w:w="108" w:type="dxa"/>
              <w:right w:w="108" w:type="dxa"/>
            </w:tcMar>
          </w:tcPr>
          <w:p w14:paraId="580A3F97"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1C367B72"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9,86%</w:t>
            </w:r>
          </w:p>
        </w:tc>
        <w:tc>
          <w:tcPr>
            <w:tcW w:w="801" w:type="pct"/>
            <w:tcMar>
              <w:left w:w="108" w:type="dxa"/>
              <w:right w:w="108" w:type="dxa"/>
            </w:tcMar>
          </w:tcPr>
          <w:p w14:paraId="712A73FE"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3C775DA3" w14:textId="77777777" w:rsidTr="001D2A53">
        <w:tc>
          <w:tcPr>
            <w:tcW w:w="761" w:type="pct"/>
            <w:tcMar>
              <w:left w:w="108" w:type="dxa"/>
              <w:right w:w="108" w:type="dxa"/>
            </w:tcMar>
          </w:tcPr>
          <w:p w14:paraId="0B7E80BA"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2035</w:t>
            </w:r>
          </w:p>
        </w:tc>
        <w:tc>
          <w:tcPr>
            <w:tcW w:w="834" w:type="pct"/>
            <w:tcMar>
              <w:left w:w="108" w:type="dxa"/>
              <w:right w:w="108" w:type="dxa"/>
            </w:tcMar>
          </w:tcPr>
          <w:p w14:paraId="0F1D2841"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2,08%</w:t>
            </w:r>
          </w:p>
        </w:tc>
        <w:tc>
          <w:tcPr>
            <w:tcW w:w="815" w:type="pct"/>
            <w:tcMar>
              <w:left w:w="108" w:type="dxa"/>
              <w:right w:w="108" w:type="dxa"/>
            </w:tcMar>
          </w:tcPr>
          <w:p w14:paraId="6C9E006E"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10,05%</w:t>
            </w:r>
          </w:p>
        </w:tc>
        <w:tc>
          <w:tcPr>
            <w:tcW w:w="821" w:type="pct"/>
            <w:tcMar>
              <w:left w:w="108" w:type="dxa"/>
              <w:right w:w="108" w:type="dxa"/>
            </w:tcMar>
          </w:tcPr>
          <w:p w14:paraId="04836C5B"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40E0A438"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10,05%</w:t>
            </w:r>
          </w:p>
        </w:tc>
        <w:tc>
          <w:tcPr>
            <w:tcW w:w="801" w:type="pct"/>
            <w:tcMar>
              <w:left w:w="108" w:type="dxa"/>
              <w:right w:w="108" w:type="dxa"/>
            </w:tcMar>
          </w:tcPr>
          <w:p w14:paraId="0508C4ED"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69E9C410" w14:textId="77777777" w:rsidTr="001D2A53">
        <w:tc>
          <w:tcPr>
            <w:tcW w:w="761" w:type="pct"/>
            <w:tcMar>
              <w:left w:w="108" w:type="dxa"/>
              <w:right w:w="108" w:type="dxa"/>
            </w:tcMar>
          </w:tcPr>
          <w:p w14:paraId="4A501021"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2036</w:t>
            </w:r>
          </w:p>
        </w:tc>
        <w:tc>
          <w:tcPr>
            <w:tcW w:w="834" w:type="pct"/>
            <w:tcMar>
              <w:left w:w="108" w:type="dxa"/>
              <w:right w:w="108" w:type="dxa"/>
            </w:tcMar>
          </w:tcPr>
          <w:p w14:paraId="7C879AA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1,96%</w:t>
            </w:r>
          </w:p>
        </w:tc>
        <w:tc>
          <w:tcPr>
            <w:tcW w:w="815" w:type="pct"/>
            <w:tcMar>
              <w:left w:w="108" w:type="dxa"/>
              <w:right w:w="108" w:type="dxa"/>
            </w:tcMar>
          </w:tcPr>
          <w:p w14:paraId="7943E7C1"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10,15%</w:t>
            </w:r>
          </w:p>
        </w:tc>
        <w:tc>
          <w:tcPr>
            <w:tcW w:w="821" w:type="pct"/>
            <w:tcMar>
              <w:left w:w="108" w:type="dxa"/>
              <w:right w:w="108" w:type="dxa"/>
            </w:tcMar>
          </w:tcPr>
          <w:p w14:paraId="3D1ECC3A"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618DA350"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10,15%</w:t>
            </w:r>
          </w:p>
        </w:tc>
        <w:tc>
          <w:tcPr>
            <w:tcW w:w="801" w:type="pct"/>
            <w:tcMar>
              <w:left w:w="108" w:type="dxa"/>
              <w:right w:w="108" w:type="dxa"/>
            </w:tcMar>
          </w:tcPr>
          <w:p w14:paraId="11BF1087"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6DEFD5A0" w14:textId="77777777" w:rsidTr="001D2A53">
        <w:tc>
          <w:tcPr>
            <w:tcW w:w="761" w:type="pct"/>
            <w:tcMar>
              <w:left w:w="108" w:type="dxa"/>
              <w:right w:w="108" w:type="dxa"/>
            </w:tcMar>
          </w:tcPr>
          <w:p w14:paraId="48137C6B"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2037</w:t>
            </w:r>
          </w:p>
        </w:tc>
        <w:tc>
          <w:tcPr>
            <w:tcW w:w="834" w:type="pct"/>
            <w:tcMar>
              <w:left w:w="108" w:type="dxa"/>
              <w:right w:w="108" w:type="dxa"/>
            </w:tcMar>
          </w:tcPr>
          <w:p w14:paraId="2E98F036"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1,84%</w:t>
            </w:r>
          </w:p>
        </w:tc>
        <w:tc>
          <w:tcPr>
            <w:tcW w:w="815" w:type="pct"/>
            <w:tcMar>
              <w:left w:w="108" w:type="dxa"/>
              <w:right w:w="108" w:type="dxa"/>
            </w:tcMar>
          </w:tcPr>
          <w:p w14:paraId="3C440B34"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10,28%</w:t>
            </w:r>
          </w:p>
        </w:tc>
        <w:tc>
          <w:tcPr>
            <w:tcW w:w="821" w:type="pct"/>
            <w:tcMar>
              <w:left w:w="108" w:type="dxa"/>
              <w:right w:w="108" w:type="dxa"/>
            </w:tcMar>
          </w:tcPr>
          <w:p w14:paraId="196E9D97"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43A05936"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10,28%</w:t>
            </w:r>
          </w:p>
        </w:tc>
        <w:tc>
          <w:tcPr>
            <w:tcW w:w="801" w:type="pct"/>
            <w:tcMar>
              <w:left w:w="108" w:type="dxa"/>
              <w:right w:w="108" w:type="dxa"/>
            </w:tcMar>
          </w:tcPr>
          <w:p w14:paraId="798B3EA9"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r w:rsidR="007E56D3" w:rsidRPr="00261C41" w14:paraId="6494343F" w14:textId="77777777" w:rsidTr="001D2A53">
        <w:tc>
          <w:tcPr>
            <w:tcW w:w="761" w:type="pct"/>
            <w:tcMar>
              <w:left w:w="108" w:type="dxa"/>
              <w:right w:w="108" w:type="dxa"/>
            </w:tcMar>
          </w:tcPr>
          <w:p w14:paraId="24E33B43"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2038</w:t>
            </w:r>
          </w:p>
        </w:tc>
        <w:tc>
          <w:tcPr>
            <w:tcW w:w="834" w:type="pct"/>
            <w:tcMar>
              <w:left w:w="108" w:type="dxa"/>
              <w:right w:w="108" w:type="dxa"/>
            </w:tcMar>
          </w:tcPr>
          <w:p w14:paraId="3C652E9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1,73%</w:t>
            </w:r>
          </w:p>
        </w:tc>
        <w:tc>
          <w:tcPr>
            <w:tcW w:w="815" w:type="pct"/>
            <w:tcMar>
              <w:left w:w="108" w:type="dxa"/>
              <w:right w:w="108" w:type="dxa"/>
            </w:tcMar>
          </w:tcPr>
          <w:p w14:paraId="10BA1C7F"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10,29%</w:t>
            </w:r>
          </w:p>
        </w:tc>
        <w:tc>
          <w:tcPr>
            <w:tcW w:w="821" w:type="pct"/>
            <w:tcMar>
              <w:left w:w="108" w:type="dxa"/>
              <w:right w:w="108" w:type="dxa"/>
            </w:tcMar>
          </w:tcPr>
          <w:p w14:paraId="4EE3F759"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c>
          <w:tcPr>
            <w:tcW w:w="967" w:type="pct"/>
            <w:tcMar>
              <w:left w:w="108" w:type="dxa"/>
              <w:right w:w="108" w:type="dxa"/>
            </w:tcMar>
          </w:tcPr>
          <w:p w14:paraId="1A94E88D" w14:textId="77777777" w:rsidR="007E56D3" w:rsidRPr="00261C41" w:rsidRDefault="007E56D3" w:rsidP="005F38E8">
            <w:pPr>
              <w:pStyle w:val="TableCell"/>
              <w:spacing w:line="276" w:lineRule="auto"/>
              <w:jc w:val="right"/>
              <w:rPr>
                <w:rFonts w:ascii="Century" w:hAnsi="Century" w:cs="Calibri"/>
                <w:sz w:val="20"/>
              </w:rPr>
            </w:pPr>
            <w:r w:rsidRPr="00261C41">
              <w:rPr>
                <w:rFonts w:ascii="Century" w:hAnsi="Century"/>
                <w:sz w:val="20"/>
              </w:rPr>
              <w:t>10,29%</w:t>
            </w:r>
          </w:p>
        </w:tc>
        <w:tc>
          <w:tcPr>
            <w:tcW w:w="801" w:type="pct"/>
            <w:tcMar>
              <w:left w:w="108" w:type="dxa"/>
              <w:right w:w="108" w:type="dxa"/>
            </w:tcMar>
          </w:tcPr>
          <w:p w14:paraId="5DAA2D2E" w14:textId="77777777" w:rsidR="007E56D3" w:rsidRPr="00261C41" w:rsidRDefault="007E56D3" w:rsidP="005F38E8">
            <w:pPr>
              <w:pStyle w:val="TableCell"/>
              <w:spacing w:line="276" w:lineRule="auto"/>
              <w:jc w:val="center"/>
              <w:rPr>
                <w:rFonts w:ascii="Century" w:hAnsi="Century" w:cs="Calibri"/>
                <w:sz w:val="20"/>
              </w:rPr>
            </w:pPr>
            <w:r w:rsidRPr="00261C41">
              <w:rPr>
                <w:rFonts w:ascii="Century" w:hAnsi="Century"/>
                <w:sz w:val="20"/>
              </w:rPr>
              <w:t>TAK</w:t>
            </w:r>
          </w:p>
        </w:tc>
      </w:tr>
    </w:tbl>
    <w:p w14:paraId="02609D4A" w14:textId="77777777" w:rsidR="001D2A53" w:rsidRDefault="001D2A53" w:rsidP="001D2A53">
      <w:pPr>
        <w:spacing w:line="360" w:lineRule="auto"/>
        <w:jc w:val="both"/>
        <w:rPr>
          <w:rFonts w:ascii="Century" w:hAnsi="Century"/>
          <w:sz w:val="20"/>
          <w:szCs w:val="20"/>
        </w:rPr>
      </w:pPr>
    </w:p>
    <w:p w14:paraId="72098FB4" w14:textId="79A9CE69" w:rsidR="007E56D3" w:rsidRPr="00261C41" w:rsidRDefault="007E56D3" w:rsidP="001D2A53">
      <w:pPr>
        <w:spacing w:line="360" w:lineRule="auto"/>
        <w:jc w:val="both"/>
        <w:rPr>
          <w:rFonts w:ascii="Century" w:hAnsi="Century" w:cs="Calibri"/>
          <w:sz w:val="20"/>
          <w:szCs w:val="20"/>
        </w:rPr>
      </w:pPr>
      <w:r w:rsidRPr="00261C41">
        <w:rPr>
          <w:rFonts w:ascii="Century" w:hAnsi="Century"/>
          <w:sz w:val="20"/>
          <w:szCs w:val="20"/>
        </w:rPr>
        <w:t>Dane w tabeli powyżej wskazują, że w całym okresie prognozy Gmina Trzciel spełnia relację, o której mowa w art. 243 ust. 1 ustawy o finansach publicznych. Spełnienie dotyczy zarówno relacji obliczonej na podstawie planu na dzień 30.09.2022 r. jak i w oparciu o kolumnę „2022 przewidywane wykonanie”.</w:t>
      </w:r>
    </w:p>
    <w:p w14:paraId="73DAD703" w14:textId="11E2F74F" w:rsidR="007E56D3" w:rsidRPr="001D2A53" w:rsidRDefault="001D2A53" w:rsidP="00F56244">
      <w:pPr>
        <w:pStyle w:val="Nagwek1"/>
        <w:keepNext/>
        <w:spacing w:line="360" w:lineRule="auto"/>
        <w:jc w:val="both"/>
        <w:rPr>
          <w:rFonts w:ascii="Century" w:hAnsi="Century" w:cs="Calibri"/>
          <w:b/>
          <w:bCs w:val="0"/>
          <w:sz w:val="22"/>
          <w:szCs w:val="22"/>
        </w:rPr>
      </w:pPr>
      <w:r>
        <w:rPr>
          <w:rFonts w:ascii="Century" w:hAnsi="Century"/>
          <w:b/>
          <w:bCs w:val="0"/>
          <w:sz w:val="22"/>
          <w:szCs w:val="22"/>
        </w:rPr>
        <w:t>9. Pozostałe pozycje w WPF</w:t>
      </w:r>
    </w:p>
    <w:p w14:paraId="2D777A36" w14:textId="77777777" w:rsidR="007E56D3" w:rsidRPr="00261C41" w:rsidRDefault="007E56D3" w:rsidP="001D2A53">
      <w:pPr>
        <w:spacing w:line="360" w:lineRule="auto"/>
        <w:jc w:val="both"/>
        <w:rPr>
          <w:rFonts w:ascii="Century" w:hAnsi="Century" w:cs="Calibri"/>
          <w:sz w:val="20"/>
          <w:szCs w:val="20"/>
        </w:rPr>
      </w:pPr>
      <w:r w:rsidRPr="00261C41">
        <w:rPr>
          <w:rFonts w:ascii="Century" w:hAnsi="Century"/>
          <w:sz w:val="20"/>
          <w:szCs w:val="20"/>
        </w:rPr>
        <w:t>Wartości wykazane w pozostałych pozycjach WPF, w tym:</w:t>
      </w:r>
    </w:p>
    <w:p w14:paraId="5B9847A7" w14:textId="77777777" w:rsidR="007E56D3" w:rsidRPr="00261C41" w:rsidRDefault="007E56D3" w:rsidP="001D2A53">
      <w:pPr>
        <w:pStyle w:val="Akapitzlist"/>
        <w:widowControl w:val="0"/>
        <w:numPr>
          <w:ilvl w:val="0"/>
          <w:numId w:val="18"/>
        </w:numPr>
        <w:autoSpaceDE w:val="0"/>
        <w:autoSpaceDN w:val="0"/>
        <w:adjustRightInd w:val="0"/>
        <w:spacing w:after="160" w:line="360" w:lineRule="auto"/>
        <w:jc w:val="both"/>
        <w:rPr>
          <w:rFonts w:ascii="Century" w:hAnsi="Century" w:cs="Calibri"/>
          <w:sz w:val="20"/>
          <w:szCs w:val="20"/>
        </w:rPr>
      </w:pPr>
      <w:r w:rsidRPr="00261C41">
        <w:rPr>
          <w:rFonts w:ascii="Century" w:hAnsi="Century"/>
          <w:sz w:val="20"/>
          <w:szCs w:val="20"/>
        </w:rPr>
        <w:t>finansowanie programów, projektów lub zadań realizowanych z udziałem środków, o których mowa w art. 5 ust. 1 pkt 2 i 3 ustawy (kolumna od 9.1 do 9.4.1.1);</w:t>
      </w:r>
    </w:p>
    <w:p w14:paraId="7C01A9EE" w14:textId="77777777" w:rsidR="007E56D3" w:rsidRPr="00261C41" w:rsidRDefault="007E56D3" w:rsidP="00F56244">
      <w:pPr>
        <w:pStyle w:val="Akapitzlist"/>
        <w:widowControl w:val="0"/>
        <w:numPr>
          <w:ilvl w:val="0"/>
          <w:numId w:val="18"/>
        </w:numPr>
        <w:autoSpaceDE w:val="0"/>
        <w:autoSpaceDN w:val="0"/>
        <w:adjustRightInd w:val="0"/>
        <w:spacing w:line="360" w:lineRule="auto"/>
        <w:jc w:val="both"/>
        <w:rPr>
          <w:rFonts w:ascii="Century" w:hAnsi="Century" w:cs="Calibri"/>
          <w:sz w:val="20"/>
          <w:szCs w:val="20"/>
        </w:rPr>
      </w:pPr>
      <w:r w:rsidRPr="00261C41">
        <w:rPr>
          <w:rFonts w:ascii="Century" w:hAnsi="Century"/>
          <w:sz w:val="20"/>
          <w:szCs w:val="20"/>
        </w:rPr>
        <w:t>informacje uzupełniające o wybranych kategoriach finansowych (kolumna od 10.1 do 10.11)</w:t>
      </w:r>
    </w:p>
    <w:p w14:paraId="13573CB4" w14:textId="18026C49" w:rsidR="007E56D3" w:rsidRPr="00F56244" w:rsidRDefault="007E56D3" w:rsidP="00F56244">
      <w:pPr>
        <w:spacing w:line="360" w:lineRule="auto"/>
        <w:jc w:val="both"/>
        <w:rPr>
          <w:rFonts w:ascii="Century" w:hAnsi="Century" w:cs="Calibri"/>
          <w:sz w:val="20"/>
          <w:szCs w:val="20"/>
        </w:rPr>
      </w:pPr>
      <w:r w:rsidRPr="00261C41">
        <w:rPr>
          <w:rFonts w:ascii="Century" w:hAnsi="Century"/>
          <w:sz w:val="20"/>
          <w:szCs w:val="20"/>
        </w:rPr>
        <w:t>stanowią informacje uzupełniające względem pozycji opisanych powyżej. Zostały przedstawione w WPF zgodnie z obowiązującym stanem faktycznym, na podstawie zawartych umów i porozumień.</w:t>
      </w:r>
    </w:p>
    <w:p w14:paraId="428925B6" w14:textId="55D399AE" w:rsidR="006B20C6" w:rsidRPr="00841511" w:rsidRDefault="00B962A6" w:rsidP="00F56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Century" w:hAnsi="Century" w:cs="Century"/>
          <w:b/>
          <w:bCs/>
          <w:sz w:val="22"/>
          <w:szCs w:val="22"/>
          <w:lang w:eastAsia="en-US"/>
        </w:rPr>
      </w:pPr>
      <w:r w:rsidRPr="008E655B">
        <w:rPr>
          <w:rFonts w:ascii="Century" w:hAnsi="Century" w:cs="Century"/>
          <w:b/>
          <w:bCs/>
          <w:sz w:val="22"/>
          <w:szCs w:val="22"/>
          <w:lang w:eastAsia="en-US"/>
        </w:rPr>
        <w:t xml:space="preserve">10. </w:t>
      </w:r>
      <w:r w:rsidR="006B20C6" w:rsidRPr="008E655B">
        <w:rPr>
          <w:rFonts w:ascii="Century" w:hAnsi="Century" w:cs="Century"/>
          <w:b/>
          <w:bCs/>
          <w:sz w:val="22"/>
          <w:szCs w:val="22"/>
          <w:lang w:eastAsia="en-US"/>
        </w:rPr>
        <w:t>Przedsięwzięcia</w:t>
      </w:r>
    </w:p>
    <w:p w14:paraId="22787F0D" w14:textId="47D10BC9" w:rsidR="006B20C6" w:rsidRPr="00841511" w:rsidRDefault="006B20C6" w:rsidP="006B20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841511">
        <w:rPr>
          <w:rFonts w:ascii="Century" w:hAnsi="Century" w:cs="Century"/>
          <w:sz w:val="20"/>
          <w:szCs w:val="20"/>
          <w:lang w:eastAsia="en-US"/>
        </w:rPr>
        <w:tab/>
        <w:t xml:space="preserve">Wydatki objęte limitem art. 226 ust. 3 ustawy w okresie objętym prognozą ujęto zgodnie z załącznikiem nr 2 do niniejszej uchwały pn. „Wykaz przedsięwzięć do WPF”. </w:t>
      </w:r>
    </w:p>
    <w:p w14:paraId="03AED797" w14:textId="13D016FF" w:rsidR="006B20C6" w:rsidRPr="00841511" w:rsidRDefault="006B20C6" w:rsidP="006B20C6">
      <w:pPr>
        <w:spacing w:line="360" w:lineRule="auto"/>
        <w:ind w:firstLine="708"/>
        <w:jc w:val="both"/>
        <w:rPr>
          <w:rFonts w:ascii="Century" w:hAnsi="Century" w:cs="Century"/>
          <w:sz w:val="20"/>
          <w:szCs w:val="20"/>
          <w:lang w:eastAsia="en-US"/>
        </w:rPr>
      </w:pPr>
      <w:r w:rsidRPr="00841511">
        <w:rPr>
          <w:rFonts w:ascii="Century" w:hAnsi="Century" w:cs="Century"/>
          <w:sz w:val="20"/>
          <w:szCs w:val="20"/>
          <w:lang w:eastAsia="en-US"/>
        </w:rPr>
        <w:t xml:space="preserve">W wykazie przedsięwzięć w ramach wydatków na projekty związane z programami realizowanymi z udziałem środków, </w:t>
      </w:r>
      <w:r w:rsidRPr="00841511">
        <w:rPr>
          <w:rFonts w:ascii="Century" w:hAnsi="Century"/>
          <w:sz w:val="20"/>
          <w:szCs w:val="20"/>
        </w:rPr>
        <w:t xml:space="preserve">o których mowa w art. 5 ust. 1 pkt 2 i 3 uf </w:t>
      </w:r>
      <w:r w:rsidRPr="00841511">
        <w:rPr>
          <w:rFonts w:ascii="Century" w:hAnsi="Century" w:cs="Century"/>
          <w:sz w:val="20"/>
          <w:szCs w:val="20"/>
          <w:lang w:eastAsia="en-US"/>
        </w:rPr>
        <w:t xml:space="preserve">ujęto wydatki </w:t>
      </w:r>
      <w:r w:rsidR="00841511" w:rsidRPr="00841511">
        <w:rPr>
          <w:rFonts w:ascii="Century" w:hAnsi="Century" w:cs="Century"/>
          <w:sz w:val="20"/>
          <w:szCs w:val="20"/>
          <w:lang w:eastAsia="en-US"/>
        </w:rPr>
        <w:t xml:space="preserve">bieżące i </w:t>
      </w:r>
      <w:r w:rsidRPr="00841511">
        <w:rPr>
          <w:rFonts w:ascii="Century" w:hAnsi="Century" w:cs="Century"/>
          <w:sz w:val="20"/>
          <w:szCs w:val="20"/>
          <w:lang w:eastAsia="en-US"/>
        </w:rPr>
        <w:t>majątkowe na następujące zadanie:</w:t>
      </w:r>
    </w:p>
    <w:p w14:paraId="6591625E" w14:textId="05B658C5" w:rsidR="006B20C6" w:rsidRPr="008B45CB" w:rsidRDefault="006B20C6" w:rsidP="006B20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Arial"/>
          <w:color w:val="FF0000"/>
          <w:sz w:val="20"/>
          <w:szCs w:val="20"/>
        </w:rPr>
      </w:pPr>
      <w:r w:rsidRPr="007362AA">
        <w:rPr>
          <w:rFonts w:ascii="Century" w:hAnsi="Century" w:cs="Arial"/>
          <w:sz w:val="20"/>
          <w:szCs w:val="20"/>
        </w:rPr>
        <w:t xml:space="preserve">- </w:t>
      </w:r>
      <w:r w:rsidR="00F81D53" w:rsidRPr="007362AA">
        <w:rPr>
          <w:rFonts w:ascii="Century" w:hAnsi="Century" w:cs="Arial"/>
          <w:sz w:val="20"/>
          <w:szCs w:val="20"/>
        </w:rPr>
        <w:t>„</w:t>
      </w:r>
      <w:r w:rsidR="00F81D53" w:rsidRPr="007362AA">
        <w:rPr>
          <w:rFonts w:ascii="Century" w:hAnsi="Century" w:cs="Arial"/>
          <w:sz w:val="20"/>
          <w:szCs w:val="20"/>
          <w:u w:val="single"/>
        </w:rPr>
        <w:t>Cyfrowa Gmina</w:t>
      </w:r>
      <w:r w:rsidRPr="007362AA">
        <w:rPr>
          <w:rFonts w:ascii="Century" w:hAnsi="Century" w:cs="Arial"/>
          <w:sz w:val="20"/>
          <w:szCs w:val="20"/>
          <w:u w:val="single"/>
        </w:rPr>
        <w:t>”</w:t>
      </w:r>
      <w:r w:rsidRPr="007362AA">
        <w:rPr>
          <w:rFonts w:ascii="Century" w:hAnsi="Century" w:cs="Arial"/>
          <w:sz w:val="20"/>
          <w:szCs w:val="20"/>
        </w:rPr>
        <w:t xml:space="preserve"> - </w:t>
      </w:r>
      <w:r w:rsidR="00F81D53" w:rsidRPr="007362AA">
        <w:rPr>
          <w:rFonts w:ascii="Century" w:hAnsi="Century" w:cs="Arial"/>
          <w:sz w:val="20"/>
          <w:szCs w:val="20"/>
        </w:rPr>
        <w:t xml:space="preserve">Celem zadania jest zwiększenie zdolności JST oraz podmiotów podległych w zakresie realizacji usług publicznych na drodze teleinformatycznej, pracy i nauki zdalnej oraz </w:t>
      </w:r>
      <w:r w:rsidR="00F81D53" w:rsidRPr="007362AA">
        <w:rPr>
          <w:rFonts w:ascii="Century" w:hAnsi="Century" w:cs="Arial"/>
          <w:sz w:val="20"/>
          <w:szCs w:val="20"/>
        </w:rPr>
        <w:lastRenderedPageBreak/>
        <w:t xml:space="preserve">wzmocnienie cyfrowej odporności na zagrożenia. </w:t>
      </w:r>
      <w:r w:rsidRPr="00D21447">
        <w:rPr>
          <w:rFonts w:ascii="Century" w:hAnsi="Century" w:cs="Arial"/>
          <w:sz w:val="20"/>
          <w:szCs w:val="20"/>
        </w:rPr>
        <w:t>P</w:t>
      </w:r>
      <w:r w:rsidRPr="00D21447">
        <w:rPr>
          <w:rFonts w:ascii="Century" w:hAnsi="Century" w:cs="Century"/>
          <w:sz w:val="20"/>
          <w:szCs w:val="20"/>
        </w:rPr>
        <w:t xml:space="preserve">rzedsięwzięcie </w:t>
      </w:r>
      <w:r w:rsidRPr="00D21447">
        <w:rPr>
          <w:rFonts w:ascii="Century" w:hAnsi="Century" w:cs="Arial"/>
          <w:sz w:val="20"/>
          <w:szCs w:val="20"/>
        </w:rPr>
        <w:t>planowane jest do realizacji w latach 202</w:t>
      </w:r>
      <w:r w:rsidR="00F81D53" w:rsidRPr="00D21447">
        <w:rPr>
          <w:rFonts w:ascii="Century" w:hAnsi="Century" w:cs="Arial"/>
          <w:sz w:val="20"/>
          <w:szCs w:val="20"/>
        </w:rPr>
        <w:t>2</w:t>
      </w:r>
      <w:r w:rsidRPr="00D21447">
        <w:rPr>
          <w:rFonts w:ascii="Century" w:hAnsi="Century" w:cs="Arial"/>
          <w:sz w:val="20"/>
          <w:szCs w:val="20"/>
        </w:rPr>
        <w:t xml:space="preserve"> - 202</w:t>
      </w:r>
      <w:r w:rsidR="00F81D53" w:rsidRPr="00D21447">
        <w:rPr>
          <w:rFonts w:ascii="Century" w:hAnsi="Century" w:cs="Arial"/>
          <w:sz w:val="20"/>
          <w:szCs w:val="20"/>
        </w:rPr>
        <w:t>3</w:t>
      </w:r>
      <w:r w:rsidRPr="00D21447">
        <w:rPr>
          <w:rFonts w:ascii="Century" w:hAnsi="Century" w:cs="Arial"/>
          <w:sz w:val="20"/>
          <w:szCs w:val="20"/>
        </w:rPr>
        <w:t>.</w:t>
      </w:r>
      <w:r w:rsidRPr="00D21447">
        <w:rPr>
          <w:rFonts w:ascii="Century" w:hAnsi="Century" w:cs="Century"/>
          <w:sz w:val="20"/>
          <w:szCs w:val="20"/>
          <w:lang w:eastAsia="en-US"/>
        </w:rPr>
        <w:t xml:space="preserve"> Planowane ł</w:t>
      </w:r>
      <w:r w:rsidRPr="00D21447">
        <w:rPr>
          <w:rFonts w:ascii="Century" w:hAnsi="Century" w:cs="Arial"/>
          <w:sz w:val="20"/>
          <w:szCs w:val="20"/>
        </w:rPr>
        <w:t xml:space="preserve">ączne nakłady finansowe na w/w zadanie wyniosą </w:t>
      </w:r>
      <w:r w:rsidR="007362AA" w:rsidRPr="00D21447">
        <w:rPr>
          <w:rFonts w:ascii="Century" w:hAnsi="Century" w:cs="Arial"/>
          <w:sz w:val="20"/>
          <w:szCs w:val="20"/>
        </w:rPr>
        <w:t>190 950</w:t>
      </w:r>
      <w:r w:rsidRPr="00D21447">
        <w:rPr>
          <w:rFonts w:ascii="Century" w:hAnsi="Century" w:cs="Arial"/>
          <w:sz w:val="20"/>
          <w:szCs w:val="20"/>
        </w:rPr>
        <w:t>,00 zł</w:t>
      </w:r>
      <w:r w:rsidR="00D21447" w:rsidRPr="00D21447">
        <w:rPr>
          <w:rFonts w:ascii="Century" w:hAnsi="Century" w:cs="Arial"/>
          <w:sz w:val="20"/>
          <w:szCs w:val="20"/>
        </w:rPr>
        <w:t>, w tym na wydatki bieżące w kwocie 111 000,00 zł, natomiast na wydatki majątkowe w kwocie 79 950,00 zł</w:t>
      </w:r>
      <w:r w:rsidRPr="00D21447">
        <w:rPr>
          <w:rFonts w:ascii="Century" w:hAnsi="Century" w:cs="Arial"/>
          <w:sz w:val="20"/>
          <w:szCs w:val="20"/>
        </w:rPr>
        <w:t>. Limit wydatków na 202</w:t>
      </w:r>
      <w:r w:rsidR="007362AA" w:rsidRPr="00D21447">
        <w:rPr>
          <w:rFonts w:ascii="Century" w:hAnsi="Century" w:cs="Arial"/>
          <w:sz w:val="20"/>
          <w:szCs w:val="20"/>
        </w:rPr>
        <w:t>3</w:t>
      </w:r>
      <w:r w:rsidRPr="00D21447">
        <w:rPr>
          <w:rFonts w:ascii="Century" w:hAnsi="Century" w:cs="Arial"/>
          <w:sz w:val="20"/>
          <w:szCs w:val="20"/>
        </w:rPr>
        <w:t xml:space="preserve"> r. ustalono w </w:t>
      </w:r>
      <w:r w:rsidR="007362AA" w:rsidRPr="00D21447">
        <w:rPr>
          <w:rFonts w:ascii="Century" w:hAnsi="Century" w:cs="Arial"/>
          <w:sz w:val="20"/>
          <w:szCs w:val="20"/>
        </w:rPr>
        <w:t xml:space="preserve">łącznej </w:t>
      </w:r>
      <w:r w:rsidRPr="00D21447">
        <w:rPr>
          <w:rFonts w:ascii="Century" w:hAnsi="Century" w:cs="Arial"/>
          <w:sz w:val="20"/>
          <w:szCs w:val="20"/>
        </w:rPr>
        <w:t xml:space="preserve">kwocie </w:t>
      </w:r>
      <w:r w:rsidR="007362AA" w:rsidRPr="00D21447">
        <w:rPr>
          <w:rFonts w:ascii="Century" w:hAnsi="Century" w:cs="Arial"/>
          <w:sz w:val="20"/>
          <w:szCs w:val="20"/>
        </w:rPr>
        <w:t>185 415</w:t>
      </w:r>
      <w:r w:rsidRPr="00D21447">
        <w:rPr>
          <w:rFonts w:ascii="Century" w:hAnsi="Century" w:cs="Arial"/>
          <w:sz w:val="20"/>
          <w:szCs w:val="20"/>
        </w:rPr>
        <w:t>,00 zł</w:t>
      </w:r>
      <w:r w:rsidR="007362AA" w:rsidRPr="00D21447">
        <w:rPr>
          <w:rFonts w:ascii="Century" w:hAnsi="Century" w:cs="Arial"/>
          <w:sz w:val="20"/>
          <w:szCs w:val="20"/>
        </w:rPr>
        <w:t>, w tym na wydatki bieżące w kwocie 105 465,00 zł oraz na wydatki majątkowe w kwocie 79 950,00 zł</w:t>
      </w:r>
      <w:r w:rsidRPr="00D21447">
        <w:rPr>
          <w:rFonts w:ascii="Century" w:hAnsi="Century" w:cs="Arial"/>
          <w:sz w:val="20"/>
          <w:szCs w:val="20"/>
        </w:rPr>
        <w:t xml:space="preserve">. Ustalono również pozostały limit zobowiązań po uwzględnieniu dotychczas już zaciągniętych zobowiązań na to zadanie w wysokości </w:t>
      </w:r>
      <w:r w:rsidR="00D21447" w:rsidRPr="00D21447">
        <w:rPr>
          <w:rFonts w:ascii="Century" w:hAnsi="Century" w:cs="Arial"/>
          <w:sz w:val="20"/>
          <w:szCs w:val="20"/>
        </w:rPr>
        <w:t>185 415,00</w:t>
      </w:r>
      <w:r w:rsidRPr="00D21447">
        <w:rPr>
          <w:rFonts w:ascii="Century" w:hAnsi="Century" w:cs="Arial"/>
          <w:sz w:val="20"/>
          <w:szCs w:val="20"/>
        </w:rPr>
        <w:t xml:space="preserve"> zł</w:t>
      </w:r>
      <w:r w:rsidR="00D21447" w:rsidRPr="00D21447">
        <w:rPr>
          <w:rFonts w:ascii="Century" w:hAnsi="Century" w:cs="Arial"/>
          <w:sz w:val="20"/>
          <w:szCs w:val="20"/>
        </w:rPr>
        <w:t>, w tym na wydatki bieżące w kwocie 105 465,00 zł oraz na wydatki majątkowe w kwocie 79 950,00 zł.</w:t>
      </w:r>
    </w:p>
    <w:p w14:paraId="280C2887" w14:textId="06391D73" w:rsidR="006B20C6" w:rsidRPr="00DA2F6C" w:rsidRDefault="006B20C6" w:rsidP="006B20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Century"/>
          <w:sz w:val="20"/>
          <w:szCs w:val="20"/>
          <w:lang w:eastAsia="en-US"/>
        </w:rPr>
      </w:pPr>
      <w:r w:rsidRPr="00DA2F6C">
        <w:rPr>
          <w:rFonts w:ascii="Century" w:hAnsi="Century" w:cs="Century"/>
          <w:sz w:val="20"/>
          <w:szCs w:val="20"/>
          <w:lang w:eastAsia="en-US"/>
        </w:rPr>
        <w:tab/>
        <w:t xml:space="preserve">W wykazie przedsięwzięć w ramach pozostałych wydatków ujęto przedsięwzięcia na następujące zadania </w:t>
      </w:r>
      <w:r w:rsidR="00DA2F6C" w:rsidRPr="00DA2F6C">
        <w:rPr>
          <w:rFonts w:ascii="Century" w:hAnsi="Century" w:cs="Century"/>
          <w:sz w:val="20"/>
          <w:szCs w:val="20"/>
          <w:lang w:eastAsia="en-US"/>
        </w:rPr>
        <w:t xml:space="preserve">bieżące i </w:t>
      </w:r>
      <w:r w:rsidRPr="00DA2F6C">
        <w:rPr>
          <w:rFonts w:ascii="Century" w:hAnsi="Century" w:cs="Century"/>
          <w:sz w:val="20"/>
          <w:szCs w:val="20"/>
          <w:lang w:eastAsia="en-US"/>
        </w:rPr>
        <w:t>majątkowe:</w:t>
      </w:r>
    </w:p>
    <w:p w14:paraId="54273951" w14:textId="3A530550" w:rsidR="00B72359" w:rsidRPr="00B72359" w:rsidRDefault="006B20C6" w:rsidP="00B723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entury" w:hAnsi="Century" w:cs="Arial"/>
          <w:sz w:val="20"/>
          <w:szCs w:val="20"/>
        </w:rPr>
      </w:pPr>
      <w:r w:rsidRPr="00B72359">
        <w:rPr>
          <w:rFonts w:ascii="Century" w:hAnsi="Century" w:cs="Arial"/>
          <w:sz w:val="20"/>
          <w:szCs w:val="20"/>
        </w:rPr>
        <w:t xml:space="preserve">- </w:t>
      </w:r>
      <w:r w:rsidRPr="00B72359">
        <w:rPr>
          <w:rFonts w:ascii="Century" w:hAnsi="Century" w:cs="Arial"/>
          <w:sz w:val="20"/>
          <w:szCs w:val="20"/>
          <w:u w:val="single"/>
        </w:rPr>
        <w:t>„</w:t>
      </w:r>
      <w:r w:rsidR="00AB1580" w:rsidRPr="00B72359">
        <w:rPr>
          <w:rFonts w:ascii="Century" w:hAnsi="Century" w:cs="Arial"/>
          <w:sz w:val="20"/>
          <w:szCs w:val="20"/>
          <w:u w:val="single"/>
        </w:rPr>
        <w:t>Opracowanie Strategii Rozwoju Terytorialnego na lata 2022-2030 obejmującego gminy Trzciel, Pszczew, Szczaniec, Zbąszynek, Babimost, Kargowa, Trzebiechów, Bojadła</w:t>
      </w:r>
      <w:r w:rsidRPr="00B72359">
        <w:rPr>
          <w:rFonts w:ascii="Century" w:hAnsi="Century" w:cs="Arial"/>
          <w:sz w:val="20"/>
          <w:szCs w:val="20"/>
          <w:u w:val="single"/>
        </w:rPr>
        <w:t>”</w:t>
      </w:r>
      <w:r w:rsidRPr="00B72359">
        <w:rPr>
          <w:rFonts w:ascii="Century" w:hAnsi="Century" w:cs="Arial"/>
          <w:sz w:val="20"/>
          <w:szCs w:val="20"/>
        </w:rPr>
        <w:t xml:space="preserve"> -</w:t>
      </w:r>
      <w:r w:rsidR="00B72359" w:rsidRPr="00B72359">
        <w:rPr>
          <w:rFonts w:ascii="Century" w:hAnsi="Century" w:cs="Arial"/>
          <w:sz w:val="20"/>
          <w:szCs w:val="20"/>
        </w:rPr>
        <w:t xml:space="preserve"> </w:t>
      </w:r>
      <w:r w:rsidR="00B72359" w:rsidRPr="00B72359">
        <w:rPr>
          <w:rFonts w:ascii="Century" w:hAnsi="Century" w:cs="Century"/>
          <w:sz w:val="20"/>
          <w:szCs w:val="20"/>
          <w:lang w:eastAsia="en-US"/>
        </w:rPr>
        <w:t xml:space="preserve">Celem </w:t>
      </w:r>
      <w:r w:rsidR="00607BEF">
        <w:rPr>
          <w:rFonts w:ascii="Century" w:hAnsi="Century" w:cs="Century"/>
          <w:sz w:val="20"/>
          <w:szCs w:val="20"/>
          <w:lang w:eastAsia="en-US"/>
        </w:rPr>
        <w:t xml:space="preserve">zadania </w:t>
      </w:r>
      <w:r w:rsidR="00B72359" w:rsidRPr="00B72359">
        <w:rPr>
          <w:rFonts w:ascii="Century" w:hAnsi="Century" w:cs="Century"/>
          <w:sz w:val="20"/>
          <w:szCs w:val="20"/>
          <w:lang w:eastAsia="en-US"/>
        </w:rPr>
        <w:t>jest</w:t>
      </w:r>
      <w:r w:rsidR="00B72359" w:rsidRPr="00B72359">
        <w:rPr>
          <w:rFonts w:ascii="Century" w:hAnsi="Century" w:cs="Arial"/>
          <w:sz w:val="20"/>
          <w:szCs w:val="20"/>
        </w:rPr>
        <w:t xml:space="preserve"> wdrożenie Strategii Rozwoju Terytorialnego na lata 2022-2030, co</w:t>
      </w:r>
      <w:r w:rsidR="00B72359" w:rsidRPr="00B72359">
        <w:rPr>
          <w:rFonts w:ascii="Century" w:hAnsi="Century" w:cs="Calibri"/>
          <w:sz w:val="20"/>
          <w:szCs w:val="20"/>
        </w:rPr>
        <w:t xml:space="preserve"> umożliwi realizację zadań finansowanych ze środków europejskich w perspektywie finansowej 2021-2027</w:t>
      </w:r>
      <w:r w:rsidR="00B72359" w:rsidRPr="00B72359">
        <w:rPr>
          <w:rFonts w:ascii="Century" w:hAnsi="Century" w:cs="Century"/>
          <w:sz w:val="20"/>
          <w:szCs w:val="20"/>
          <w:lang w:eastAsia="en-US"/>
        </w:rPr>
        <w:t xml:space="preserve">. </w:t>
      </w:r>
      <w:r w:rsidR="00607BEF">
        <w:rPr>
          <w:rFonts w:ascii="Century" w:hAnsi="Century" w:cs="Century"/>
          <w:sz w:val="20"/>
          <w:szCs w:val="20"/>
          <w:lang w:eastAsia="en-US"/>
        </w:rPr>
        <w:t>P</w:t>
      </w:r>
      <w:r w:rsidR="00607BEF" w:rsidRPr="00B72359">
        <w:rPr>
          <w:rFonts w:ascii="Century" w:hAnsi="Century" w:cs="Century"/>
          <w:sz w:val="20"/>
          <w:szCs w:val="20"/>
          <w:lang w:eastAsia="en-US"/>
        </w:rPr>
        <w:t>rzedsięwzięci</w:t>
      </w:r>
      <w:r w:rsidR="00607BEF">
        <w:rPr>
          <w:rFonts w:ascii="Century" w:hAnsi="Century" w:cs="Century"/>
          <w:sz w:val="20"/>
          <w:szCs w:val="20"/>
          <w:lang w:eastAsia="en-US"/>
        </w:rPr>
        <w:t>e</w:t>
      </w:r>
      <w:r w:rsidR="00B72359" w:rsidRPr="00B72359">
        <w:rPr>
          <w:rFonts w:ascii="Century" w:hAnsi="Century" w:cs="Century"/>
          <w:sz w:val="20"/>
          <w:szCs w:val="20"/>
          <w:lang w:eastAsia="en-US"/>
        </w:rPr>
        <w:t xml:space="preserve"> planowane </w:t>
      </w:r>
      <w:r w:rsidR="00607BEF">
        <w:rPr>
          <w:rFonts w:ascii="Century" w:hAnsi="Century" w:cs="Century"/>
          <w:sz w:val="20"/>
          <w:szCs w:val="20"/>
          <w:lang w:eastAsia="en-US"/>
        </w:rPr>
        <w:t xml:space="preserve">jest </w:t>
      </w:r>
      <w:r w:rsidR="00B72359" w:rsidRPr="00B72359">
        <w:rPr>
          <w:rFonts w:ascii="Century" w:hAnsi="Century" w:cs="Century"/>
          <w:sz w:val="20"/>
          <w:szCs w:val="20"/>
          <w:lang w:eastAsia="en-US"/>
        </w:rPr>
        <w:t>do realizacji w latach 2022-2023</w:t>
      </w:r>
      <w:r w:rsidR="00B72359" w:rsidRPr="00B72359">
        <w:rPr>
          <w:rFonts w:ascii="Century" w:hAnsi="Century"/>
          <w:sz w:val="20"/>
          <w:szCs w:val="20"/>
        </w:rPr>
        <w:t xml:space="preserve">. </w:t>
      </w:r>
      <w:r w:rsidR="00B54939" w:rsidRPr="00B72359">
        <w:rPr>
          <w:rFonts w:ascii="Century" w:hAnsi="Century" w:cs="Arial"/>
          <w:sz w:val="20"/>
          <w:szCs w:val="20"/>
        </w:rPr>
        <w:t>W roku 2022 przedsięwzięcie było realizowane tylko w zakresie merytorycznym, bez ponoszenia wydatków</w:t>
      </w:r>
      <w:r w:rsidR="00B54939">
        <w:rPr>
          <w:rFonts w:ascii="Century" w:hAnsi="Century" w:cs="Arial"/>
          <w:sz w:val="20"/>
          <w:szCs w:val="20"/>
        </w:rPr>
        <w:t xml:space="preserve">. </w:t>
      </w:r>
      <w:r w:rsidR="00B72359" w:rsidRPr="00B72359">
        <w:rPr>
          <w:rFonts w:ascii="Century" w:hAnsi="Century" w:cs="Arial"/>
          <w:sz w:val="20"/>
          <w:szCs w:val="20"/>
        </w:rPr>
        <w:t>Ustalono łączne nakłady finansowe na to zadanie oraz limit wydatków na 2023 rok w kwocie 104 550,00 zł.</w:t>
      </w:r>
      <w:r w:rsidR="00155C8D">
        <w:rPr>
          <w:rFonts w:ascii="Century" w:hAnsi="Century" w:cs="Arial"/>
          <w:sz w:val="20"/>
          <w:szCs w:val="20"/>
        </w:rPr>
        <w:t xml:space="preserve"> Nie ustalono l</w:t>
      </w:r>
      <w:r w:rsidR="00155C8D" w:rsidRPr="00B72359">
        <w:rPr>
          <w:rFonts w:ascii="Century" w:hAnsi="Century" w:cs="Arial"/>
          <w:sz w:val="20"/>
          <w:szCs w:val="20"/>
        </w:rPr>
        <w:t>imit</w:t>
      </w:r>
      <w:r w:rsidR="00155C8D">
        <w:rPr>
          <w:rFonts w:ascii="Century" w:hAnsi="Century" w:cs="Arial"/>
          <w:sz w:val="20"/>
          <w:szCs w:val="20"/>
        </w:rPr>
        <w:t>u</w:t>
      </w:r>
      <w:r w:rsidR="00155C8D" w:rsidRPr="00B72359">
        <w:rPr>
          <w:rFonts w:ascii="Century" w:hAnsi="Century" w:cs="Arial"/>
          <w:sz w:val="20"/>
          <w:szCs w:val="20"/>
        </w:rPr>
        <w:t xml:space="preserve"> zobowiązań</w:t>
      </w:r>
      <w:r w:rsidR="00155C8D">
        <w:rPr>
          <w:rFonts w:ascii="Century" w:hAnsi="Century" w:cs="Arial"/>
          <w:sz w:val="20"/>
          <w:szCs w:val="20"/>
        </w:rPr>
        <w:t>, ponieważ w 2022 roku zostało zaciągnięte całe zobowiązanie na to zadanie.</w:t>
      </w:r>
    </w:p>
    <w:p w14:paraId="68A6CFD2" w14:textId="684C6DE1" w:rsidR="00B54939" w:rsidRDefault="00B54939" w:rsidP="00665B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entury" w:hAnsi="Century" w:cs="Century"/>
          <w:sz w:val="20"/>
          <w:szCs w:val="20"/>
          <w:lang w:eastAsia="en-US"/>
        </w:rPr>
      </w:pPr>
      <w:r w:rsidRPr="00684CB2">
        <w:rPr>
          <w:rFonts w:ascii="Century" w:hAnsi="Century" w:cs="Arial"/>
          <w:sz w:val="20"/>
          <w:szCs w:val="20"/>
        </w:rPr>
        <w:t xml:space="preserve">- </w:t>
      </w:r>
      <w:r w:rsidRPr="00684CB2">
        <w:rPr>
          <w:rFonts w:ascii="Century" w:hAnsi="Century" w:cs="Arial"/>
          <w:sz w:val="20"/>
          <w:szCs w:val="20"/>
          <w:u w:val="single"/>
        </w:rPr>
        <w:t>„Przebudowa ul. Klonowej oraz przebudowa ul. Łąkowej w miejscowości Trzciel”</w:t>
      </w:r>
      <w:r w:rsidRPr="00684CB2">
        <w:rPr>
          <w:rFonts w:ascii="Century" w:hAnsi="Century" w:cs="Arial"/>
          <w:sz w:val="20"/>
          <w:szCs w:val="20"/>
        </w:rPr>
        <w:t xml:space="preserve"> </w:t>
      </w:r>
      <w:r w:rsidR="00684CB2" w:rsidRPr="00684CB2">
        <w:rPr>
          <w:rFonts w:ascii="Century" w:hAnsi="Century" w:cs="Arial"/>
          <w:sz w:val="20"/>
          <w:szCs w:val="20"/>
        </w:rPr>
        <w:t>-</w:t>
      </w:r>
      <w:r w:rsidRPr="00684CB2">
        <w:rPr>
          <w:rFonts w:ascii="Century" w:hAnsi="Century" w:cs="Arial"/>
          <w:sz w:val="20"/>
          <w:szCs w:val="20"/>
        </w:rPr>
        <w:t xml:space="preserve"> </w:t>
      </w:r>
      <w:r w:rsidRPr="00684CB2">
        <w:rPr>
          <w:rFonts w:ascii="Century" w:hAnsi="Century" w:cs="Century"/>
          <w:sz w:val="20"/>
          <w:szCs w:val="20"/>
          <w:lang w:eastAsia="en-US"/>
        </w:rPr>
        <w:t xml:space="preserve">Celem przedsięwzięcia jest </w:t>
      </w:r>
      <w:r w:rsidRPr="00684CB2">
        <w:rPr>
          <w:rFonts w:ascii="Century" w:hAnsi="Century"/>
          <w:sz w:val="20"/>
          <w:szCs w:val="20"/>
        </w:rPr>
        <w:t>z</w:t>
      </w:r>
      <w:r w:rsidRPr="00684CB2">
        <w:rPr>
          <w:rFonts w:ascii="Century" w:hAnsi="Century" w:cs="Century"/>
          <w:sz w:val="20"/>
          <w:szCs w:val="20"/>
          <w:lang w:eastAsia="en-US"/>
        </w:rPr>
        <w:t>aspokojenie podstawowych potrzeb komunikacyjnych oraz podniesienie standardu życia mieszkańców, które będzie realizowane w latach 2022-2023</w:t>
      </w:r>
      <w:r w:rsidRPr="00684CB2">
        <w:rPr>
          <w:rFonts w:ascii="Century" w:hAnsi="Century"/>
          <w:sz w:val="20"/>
          <w:szCs w:val="20"/>
        </w:rPr>
        <w:t xml:space="preserve">. </w:t>
      </w:r>
      <w:r w:rsidR="00684CB2" w:rsidRPr="00684CB2">
        <w:rPr>
          <w:rFonts w:ascii="Century" w:hAnsi="Century" w:cs="Arial"/>
          <w:sz w:val="20"/>
          <w:szCs w:val="20"/>
        </w:rPr>
        <w:t xml:space="preserve">W roku 2022 zadanie było realizowane w zakresie tylko merytorycznym, bez ponoszenia wydatków. </w:t>
      </w:r>
      <w:r w:rsidRPr="00684CB2">
        <w:rPr>
          <w:rFonts w:ascii="Century" w:hAnsi="Century" w:cs="Arial"/>
          <w:sz w:val="20"/>
          <w:szCs w:val="20"/>
        </w:rPr>
        <w:t xml:space="preserve">Ustalono łączne nakłady finansowe na to zadanie, limit zobowiązań oraz limit wydatków </w:t>
      </w:r>
      <w:r w:rsidR="00684CB2" w:rsidRPr="00684CB2">
        <w:rPr>
          <w:rFonts w:ascii="Century" w:hAnsi="Century" w:cs="Century"/>
          <w:sz w:val="20"/>
          <w:szCs w:val="20"/>
          <w:lang w:eastAsia="en-US"/>
        </w:rPr>
        <w:t xml:space="preserve">na rok 2023 </w:t>
      </w:r>
      <w:r w:rsidRPr="00684CB2">
        <w:rPr>
          <w:rFonts w:ascii="Century" w:hAnsi="Century" w:cs="Arial"/>
          <w:sz w:val="20"/>
          <w:szCs w:val="20"/>
        </w:rPr>
        <w:t xml:space="preserve">w kwocie </w:t>
      </w:r>
      <w:r w:rsidR="00684CB2" w:rsidRPr="00684CB2">
        <w:rPr>
          <w:rFonts w:ascii="Century" w:hAnsi="Century" w:cs="Arial"/>
          <w:sz w:val="20"/>
          <w:szCs w:val="20"/>
        </w:rPr>
        <w:t>2 000 000,00</w:t>
      </w:r>
      <w:r w:rsidRPr="00684CB2">
        <w:rPr>
          <w:rFonts w:ascii="Century" w:hAnsi="Century" w:cs="Arial"/>
          <w:sz w:val="20"/>
          <w:szCs w:val="20"/>
        </w:rPr>
        <w:t xml:space="preserve"> zł</w:t>
      </w:r>
      <w:r w:rsidR="00684CB2" w:rsidRPr="00684CB2">
        <w:rPr>
          <w:rFonts w:ascii="Century" w:hAnsi="Century" w:cs="Arial"/>
          <w:sz w:val="20"/>
          <w:szCs w:val="20"/>
        </w:rPr>
        <w:t>.</w:t>
      </w:r>
    </w:p>
    <w:p w14:paraId="4A585C3C" w14:textId="35FCD2A0" w:rsidR="008213EF" w:rsidRDefault="008213EF" w:rsidP="005B377F">
      <w:pPr>
        <w:spacing w:line="360" w:lineRule="auto"/>
        <w:jc w:val="both"/>
        <w:rPr>
          <w:rFonts w:ascii="Century" w:hAnsi="Century" w:cs="Arial"/>
          <w:color w:val="FF0000"/>
          <w:sz w:val="20"/>
          <w:szCs w:val="20"/>
        </w:rPr>
      </w:pPr>
      <w:r>
        <w:rPr>
          <w:rFonts w:ascii="Century" w:hAnsi="Century" w:cs="Arial"/>
          <w:sz w:val="20"/>
          <w:szCs w:val="20"/>
        </w:rPr>
        <w:t xml:space="preserve">- </w:t>
      </w:r>
      <w:r w:rsidRPr="008213EF">
        <w:rPr>
          <w:rFonts w:ascii="Century" w:hAnsi="Century" w:cs="Arial"/>
          <w:sz w:val="20"/>
          <w:szCs w:val="20"/>
          <w:u w:val="single"/>
        </w:rPr>
        <w:t>„Budowa promenady wzdłuż rzeki Obry w Trzcielu z zagospodarowaniem terenu plaży nad jeziorem Młyńskim i budową drogi dojazdowej do plaży”</w:t>
      </w:r>
      <w:r>
        <w:rPr>
          <w:rFonts w:ascii="Century" w:hAnsi="Century" w:cs="Arial"/>
          <w:sz w:val="20"/>
          <w:szCs w:val="20"/>
        </w:rPr>
        <w:t xml:space="preserve"> -</w:t>
      </w:r>
      <w:r w:rsidR="005B377F" w:rsidRPr="005B377F">
        <w:t xml:space="preserve"> </w:t>
      </w:r>
      <w:r w:rsidR="005B377F" w:rsidRPr="00684CB2">
        <w:rPr>
          <w:rFonts w:ascii="Century" w:hAnsi="Century" w:cs="Century"/>
          <w:sz w:val="20"/>
          <w:szCs w:val="20"/>
          <w:lang w:eastAsia="en-US"/>
        </w:rPr>
        <w:t xml:space="preserve">Celem przedsięwzięcia jest </w:t>
      </w:r>
      <w:r w:rsidR="005B377F">
        <w:rPr>
          <w:rFonts w:ascii="Century" w:hAnsi="Century" w:cs="Century"/>
          <w:sz w:val="20"/>
          <w:szCs w:val="20"/>
          <w:lang w:eastAsia="en-US"/>
        </w:rPr>
        <w:t>r</w:t>
      </w:r>
      <w:r w:rsidR="005B377F" w:rsidRPr="005B377F">
        <w:rPr>
          <w:rFonts w:ascii="Century" w:hAnsi="Century" w:cs="Arial"/>
          <w:sz w:val="20"/>
          <w:szCs w:val="20"/>
        </w:rPr>
        <w:t>ozwój infrastruktury turystyczno- rekreacyjnej w gminie</w:t>
      </w:r>
      <w:r w:rsidR="005B377F">
        <w:rPr>
          <w:rFonts w:ascii="Century" w:hAnsi="Century" w:cs="Arial"/>
          <w:sz w:val="20"/>
          <w:szCs w:val="20"/>
        </w:rPr>
        <w:t>.</w:t>
      </w:r>
      <w:r w:rsidR="005B377F" w:rsidRPr="005B377F">
        <w:rPr>
          <w:rFonts w:ascii="Century" w:hAnsi="Century" w:cs="Century"/>
          <w:sz w:val="20"/>
          <w:szCs w:val="20"/>
          <w:lang w:eastAsia="en-US"/>
        </w:rPr>
        <w:t xml:space="preserve"> </w:t>
      </w:r>
      <w:r w:rsidR="005B377F">
        <w:rPr>
          <w:rFonts w:ascii="Century" w:hAnsi="Century" w:cs="Century"/>
          <w:sz w:val="20"/>
          <w:szCs w:val="20"/>
          <w:lang w:eastAsia="en-US"/>
        </w:rPr>
        <w:t xml:space="preserve">Zadanie </w:t>
      </w:r>
      <w:r w:rsidR="005B377F" w:rsidRPr="00852019">
        <w:rPr>
          <w:rFonts w:ascii="Century" w:hAnsi="Century" w:cs="Century"/>
          <w:sz w:val="20"/>
          <w:szCs w:val="20"/>
          <w:lang w:eastAsia="en-US"/>
        </w:rPr>
        <w:t>będzie realizowane w latach 202</w:t>
      </w:r>
      <w:r w:rsidR="005B377F">
        <w:rPr>
          <w:rFonts w:ascii="Century" w:hAnsi="Century" w:cs="Century"/>
          <w:sz w:val="20"/>
          <w:szCs w:val="20"/>
          <w:lang w:eastAsia="en-US"/>
        </w:rPr>
        <w:t>2</w:t>
      </w:r>
      <w:r w:rsidR="005B377F" w:rsidRPr="00852019">
        <w:rPr>
          <w:rFonts w:ascii="Century" w:hAnsi="Century" w:cs="Century"/>
          <w:sz w:val="20"/>
          <w:szCs w:val="20"/>
          <w:lang w:eastAsia="en-US"/>
        </w:rPr>
        <w:t>-202</w:t>
      </w:r>
      <w:r w:rsidR="005B377F">
        <w:rPr>
          <w:rFonts w:ascii="Century" w:hAnsi="Century" w:cs="Century"/>
          <w:sz w:val="20"/>
          <w:szCs w:val="20"/>
          <w:lang w:eastAsia="en-US"/>
        </w:rPr>
        <w:t>3</w:t>
      </w:r>
      <w:r w:rsidR="005B377F" w:rsidRPr="00852019">
        <w:rPr>
          <w:rFonts w:ascii="Century" w:hAnsi="Century"/>
          <w:sz w:val="20"/>
          <w:szCs w:val="20"/>
        </w:rPr>
        <w:t xml:space="preserve">. </w:t>
      </w:r>
      <w:r w:rsidR="005B377F" w:rsidRPr="00852019">
        <w:rPr>
          <w:rFonts w:ascii="Century" w:hAnsi="Century" w:cs="Arial"/>
          <w:sz w:val="20"/>
          <w:szCs w:val="20"/>
        </w:rPr>
        <w:t>Ustalono łączne nakłady finansowe na to zadanie</w:t>
      </w:r>
      <w:r w:rsidR="005B377F">
        <w:rPr>
          <w:rFonts w:ascii="Century" w:hAnsi="Century" w:cs="Arial"/>
          <w:sz w:val="20"/>
          <w:szCs w:val="20"/>
        </w:rPr>
        <w:t xml:space="preserve"> w kwocie 4 700 938,00 zł</w:t>
      </w:r>
      <w:r w:rsidR="0094604E">
        <w:rPr>
          <w:rFonts w:ascii="Century" w:hAnsi="Century" w:cs="Arial"/>
          <w:sz w:val="20"/>
          <w:szCs w:val="20"/>
        </w:rPr>
        <w:t xml:space="preserve"> oraz l</w:t>
      </w:r>
      <w:r w:rsidR="005B377F">
        <w:rPr>
          <w:rFonts w:ascii="Century" w:hAnsi="Century" w:cs="Arial"/>
          <w:sz w:val="20"/>
          <w:szCs w:val="20"/>
        </w:rPr>
        <w:t>i</w:t>
      </w:r>
      <w:r w:rsidR="005B377F" w:rsidRPr="00852019">
        <w:rPr>
          <w:rFonts w:ascii="Century" w:hAnsi="Century" w:cs="Arial"/>
          <w:sz w:val="20"/>
          <w:szCs w:val="20"/>
        </w:rPr>
        <w:t xml:space="preserve">mit wydatków </w:t>
      </w:r>
      <w:r w:rsidR="005B377F" w:rsidRPr="00852019">
        <w:rPr>
          <w:rFonts w:ascii="Century" w:hAnsi="Century" w:cs="Century"/>
          <w:sz w:val="20"/>
          <w:szCs w:val="20"/>
          <w:lang w:eastAsia="en-US"/>
        </w:rPr>
        <w:t xml:space="preserve">na rok 2023 w kwocie </w:t>
      </w:r>
      <w:r w:rsidR="005B377F">
        <w:rPr>
          <w:rFonts w:ascii="Century" w:hAnsi="Century" w:cs="Century"/>
          <w:sz w:val="20"/>
          <w:szCs w:val="20"/>
          <w:lang w:eastAsia="en-US"/>
        </w:rPr>
        <w:t xml:space="preserve">4 150 938,00 zł. </w:t>
      </w:r>
      <w:r w:rsidR="005B377F" w:rsidRPr="00D21447">
        <w:rPr>
          <w:rFonts w:ascii="Century" w:hAnsi="Century" w:cs="Arial"/>
          <w:sz w:val="20"/>
          <w:szCs w:val="20"/>
        </w:rPr>
        <w:t xml:space="preserve">Ustalono również pozostały limit zobowiązań po uwzględnieniu dotychczas już zaciągniętych zobowiązań na to zadanie w wysokości </w:t>
      </w:r>
      <w:r w:rsidR="005B377F">
        <w:rPr>
          <w:rFonts w:ascii="Century" w:hAnsi="Century" w:cs="Arial"/>
          <w:sz w:val="20"/>
          <w:szCs w:val="20"/>
        </w:rPr>
        <w:t>138 541,73</w:t>
      </w:r>
      <w:r w:rsidR="005B377F" w:rsidRPr="00D21447">
        <w:rPr>
          <w:rFonts w:ascii="Century" w:hAnsi="Century" w:cs="Arial"/>
          <w:sz w:val="20"/>
          <w:szCs w:val="20"/>
        </w:rPr>
        <w:t xml:space="preserve"> zł</w:t>
      </w:r>
      <w:r w:rsidR="0094604E">
        <w:rPr>
          <w:rFonts w:ascii="Century" w:hAnsi="Century" w:cs="Arial"/>
          <w:sz w:val="20"/>
          <w:szCs w:val="20"/>
        </w:rPr>
        <w:t>.</w:t>
      </w:r>
    </w:p>
    <w:p w14:paraId="13CFD644" w14:textId="676B83F1" w:rsidR="006B20C6" w:rsidRPr="0099629F" w:rsidRDefault="0094604E" w:rsidP="0099629F">
      <w:pPr>
        <w:spacing w:line="360" w:lineRule="auto"/>
        <w:jc w:val="both"/>
        <w:rPr>
          <w:rFonts w:ascii="Century" w:hAnsi="Century" w:cs="Arial"/>
          <w:color w:val="FF0000"/>
          <w:sz w:val="20"/>
          <w:szCs w:val="20"/>
        </w:rPr>
      </w:pPr>
      <w:r>
        <w:rPr>
          <w:rFonts w:ascii="Century" w:hAnsi="Century" w:cs="Century"/>
          <w:sz w:val="20"/>
          <w:szCs w:val="20"/>
          <w:lang w:eastAsia="en-US"/>
        </w:rPr>
        <w:t xml:space="preserve">- </w:t>
      </w:r>
      <w:r w:rsidRPr="0094604E">
        <w:rPr>
          <w:rFonts w:ascii="Century" w:hAnsi="Century" w:cs="Century"/>
          <w:sz w:val="20"/>
          <w:szCs w:val="20"/>
          <w:u w:val="single"/>
          <w:lang w:eastAsia="en-US"/>
        </w:rPr>
        <w:t>„</w:t>
      </w:r>
      <w:r w:rsidR="005B377F" w:rsidRPr="0094604E">
        <w:rPr>
          <w:rFonts w:ascii="Century" w:hAnsi="Century" w:cs="Arial"/>
          <w:sz w:val="20"/>
          <w:szCs w:val="20"/>
          <w:u w:val="single"/>
        </w:rPr>
        <w:t>Przebudowa i rozbudowa oczyszczalni ścieków w Trzcielu</w:t>
      </w:r>
      <w:r w:rsidRPr="0094604E">
        <w:rPr>
          <w:rFonts w:ascii="Century" w:hAnsi="Century" w:cs="Arial"/>
          <w:sz w:val="20"/>
          <w:szCs w:val="20"/>
          <w:u w:val="single"/>
        </w:rPr>
        <w:t>”</w:t>
      </w:r>
      <w:r>
        <w:rPr>
          <w:rFonts w:ascii="Century" w:hAnsi="Century" w:cs="Arial"/>
          <w:sz w:val="20"/>
          <w:szCs w:val="20"/>
        </w:rPr>
        <w:t xml:space="preserve"> - </w:t>
      </w:r>
      <w:r w:rsidR="00B54939" w:rsidRPr="00852019">
        <w:rPr>
          <w:rFonts w:ascii="Century" w:hAnsi="Century" w:cs="Century"/>
          <w:sz w:val="20"/>
          <w:szCs w:val="20"/>
          <w:lang w:eastAsia="en-US"/>
        </w:rPr>
        <w:t xml:space="preserve">Celem przedsięwzięcia jest </w:t>
      </w:r>
      <w:r w:rsidR="00B54939">
        <w:rPr>
          <w:rFonts w:ascii="Century" w:hAnsi="Century"/>
          <w:sz w:val="20"/>
          <w:szCs w:val="20"/>
        </w:rPr>
        <w:t>u</w:t>
      </w:r>
      <w:r w:rsidR="00B54939" w:rsidRPr="00852019">
        <w:rPr>
          <w:rFonts w:ascii="Century" w:hAnsi="Century"/>
          <w:sz w:val="20"/>
          <w:szCs w:val="20"/>
        </w:rPr>
        <w:t>porządkowanie gospodarki osadowej na obiekcie oczyszczalni</w:t>
      </w:r>
      <w:r w:rsidR="00B54939" w:rsidRPr="00852019">
        <w:rPr>
          <w:rFonts w:ascii="Century" w:hAnsi="Century" w:cs="Century"/>
          <w:sz w:val="20"/>
          <w:szCs w:val="20"/>
          <w:lang w:eastAsia="en-US"/>
        </w:rPr>
        <w:t xml:space="preserve">, które będzie realizowane w latach </w:t>
      </w:r>
      <w:r w:rsidR="00B54939" w:rsidRPr="0099629F">
        <w:rPr>
          <w:rFonts w:ascii="Century" w:hAnsi="Century" w:cs="Century"/>
          <w:sz w:val="20"/>
          <w:szCs w:val="20"/>
          <w:lang w:eastAsia="en-US"/>
        </w:rPr>
        <w:t>202</w:t>
      </w:r>
      <w:r w:rsidR="0099629F" w:rsidRPr="0099629F">
        <w:rPr>
          <w:rFonts w:ascii="Century" w:hAnsi="Century" w:cs="Century"/>
          <w:sz w:val="20"/>
          <w:szCs w:val="20"/>
          <w:lang w:eastAsia="en-US"/>
        </w:rPr>
        <w:t>1</w:t>
      </w:r>
      <w:r w:rsidR="00B54939" w:rsidRPr="0099629F">
        <w:rPr>
          <w:rFonts w:ascii="Century" w:hAnsi="Century" w:cs="Century"/>
          <w:sz w:val="20"/>
          <w:szCs w:val="20"/>
          <w:lang w:eastAsia="en-US"/>
        </w:rPr>
        <w:t>-2024</w:t>
      </w:r>
      <w:r w:rsidR="00B54939" w:rsidRPr="0099629F">
        <w:rPr>
          <w:rFonts w:ascii="Century" w:hAnsi="Century"/>
          <w:sz w:val="20"/>
          <w:szCs w:val="20"/>
        </w:rPr>
        <w:t xml:space="preserve">. </w:t>
      </w:r>
      <w:r w:rsidR="0099629F" w:rsidRPr="0099629F">
        <w:rPr>
          <w:rFonts w:ascii="Century" w:hAnsi="Century" w:cs="Arial"/>
          <w:sz w:val="20"/>
          <w:szCs w:val="20"/>
        </w:rPr>
        <w:t xml:space="preserve">W roku 2021 zadanie było realizowane w zakresie tylko merytorycznym, bez ponoszenia wydatków, natomiast w roku 2022 poniesiono wydatki na opracowanie dokumentacji projektowej. </w:t>
      </w:r>
      <w:r w:rsidR="00B54939" w:rsidRPr="0099629F">
        <w:rPr>
          <w:rFonts w:ascii="Century" w:hAnsi="Century" w:cs="Arial"/>
          <w:sz w:val="20"/>
          <w:szCs w:val="20"/>
        </w:rPr>
        <w:t>Ustalono łączne nakłady finansowe na to zadanie</w:t>
      </w:r>
      <w:r w:rsidR="0099629F" w:rsidRPr="0099629F">
        <w:rPr>
          <w:rFonts w:ascii="Century" w:hAnsi="Century" w:cs="Arial"/>
          <w:sz w:val="20"/>
          <w:szCs w:val="20"/>
        </w:rPr>
        <w:t xml:space="preserve"> w kwocie 9 31</w:t>
      </w:r>
      <w:r w:rsidR="00F058E3">
        <w:rPr>
          <w:rFonts w:ascii="Century" w:hAnsi="Century" w:cs="Arial"/>
          <w:sz w:val="20"/>
          <w:szCs w:val="20"/>
        </w:rPr>
        <w:t>4</w:t>
      </w:r>
      <w:r w:rsidR="0099629F" w:rsidRPr="0099629F">
        <w:rPr>
          <w:rFonts w:ascii="Century" w:hAnsi="Century" w:cs="Arial"/>
          <w:sz w:val="20"/>
          <w:szCs w:val="20"/>
        </w:rPr>
        <w:t xml:space="preserve"> 800,00 zł, li</w:t>
      </w:r>
      <w:r w:rsidR="00B54939" w:rsidRPr="0099629F">
        <w:rPr>
          <w:rFonts w:ascii="Century" w:hAnsi="Century" w:cs="Arial"/>
          <w:sz w:val="20"/>
          <w:szCs w:val="20"/>
        </w:rPr>
        <w:t xml:space="preserve">mit </w:t>
      </w:r>
      <w:r w:rsidR="00B54939" w:rsidRPr="00852019">
        <w:rPr>
          <w:rFonts w:ascii="Century" w:hAnsi="Century" w:cs="Arial"/>
          <w:sz w:val="20"/>
          <w:szCs w:val="20"/>
        </w:rPr>
        <w:t xml:space="preserve">wydatków w </w:t>
      </w:r>
      <w:r w:rsidR="0099629F">
        <w:rPr>
          <w:rFonts w:ascii="Century" w:hAnsi="Century" w:cs="Arial"/>
          <w:sz w:val="20"/>
          <w:szCs w:val="20"/>
        </w:rPr>
        <w:t xml:space="preserve">łącznej </w:t>
      </w:r>
      <w:r w:rsidR="00B54939" w:rsidRPr="00852019">
        <w:rPr>
          <w:rFonts w:ascii="Century" w:hAnsi="Century" w:cs="Arial"/>
          <w:sz w:val="20"/>
          <w:szCs w:val="20"/>
        </w:rPr>
        <w:t xml:space="preserve">kwocie </w:t>
      </w:r>
      <w:r w:rsidR="0099629F">
        <w:rPr>
          <w:rFonts w:ascii="Century" w:hAnsi="Century" w:cs="Arial"/>
          <w:sz w:val="20"/>
          <w:szCs w:val="20"/>
        </w:rPr>
        <w:t>9 155 000</w:t>
      </w:r>
      <w:r w:rsidR="00B54939" w:rsidRPr="00852019">
        <w:rPr>
          <w:rFonts w:ascii="Century" w:hAnsi="Century" w:cs="Arial"/>
          <w:sz w:val="20"/>
          <w:szCs w:val="20"/>
        </w:rPr>
        <w:t xml:space="preserve">,00 zł, </w:t>
      </w:r>
      <w:r w:rsidR="00B54939" w:rsidRPr="00852019">
        <w:rPr>
          <w:rFonts w:ascii="Century" w:hAnsi="Century" w:cs="Century"/>
          <w:sz w:val="20"/>
          <w:szCs w:val="20"/>
          <w:lang w:eastAsia="en-US"/>
        </w:rPr>
        <w:t>przy czym limit wydatków na rok 2023 w kwocie 4</w:t>
      </w:r>
      <w:r w:rsidR="0099629F">
        <w:rPr>
          <w:rFonts w:ascii="Century" w:hAnsi="Century" w:cs="Century"/>
          <w:sz w:val="20"/>
          <w:szCs w:val="20"/>
          <w:lang w:eastAsia="en-US"/>
        </w:rPr>
        <w:t> 300 000</w:t>
      </w:r>
      <w:r w:rsidR="00B54939" w:rsidRPr="00852019">
        <w:rPr>
          <w:rFonts w:ascii="Century" w:hAnsi="Century" w:cs="Century"/>
          <w:sz w:val="20"/>
          <w:szCs w:val="20"/>
          <w:lang w:eastAsia="en-US"/>
        </w:rPr>
        <w:t xml:space="preserve">,00 zł, natomiast limit </w:t>
      </w:r>
      <w:r w:rsidR="00F058E3" w:rsidRPr="00852019">
        <w:rPr>
          <w:rFonts w:ascii="Century" w:hAnsi="Century" w:cs="Century"/>
          <w:sz w:val="20"/>
          <w:szCs w:val="20"/>
          <w:lang w:eastAsia="en-US"/>
        </w:rPr>
        <w:t xml:space="preserve">wydatków </w:t>
      </w:r>
      <w:r w:rsidR="00B54939" w:rsidRPr="00852019">
        <w:rPr>
          <w:rFonts w:ascii="Century" w:hAnsi="Century" w:cs="Century"/>
          <w:sz w:val="20"/>
          <w:szCs w:val="20"/>
          <w:lang w:eastAsia="en-US"/>
        </w:rPr>
        <w:t>na rok 2024 w kwocie 4</w:t>
      </w:r>
      <w:r w:rsidR="0099629F">
        <w:rPr>
          <w:rFonts w:ascii="Century" w:hAnsi="Century" w:cs="Century"/>
          <w:sz w:val="20"/>
          <w:szCs w:val="20"/>
          <w:lang w:eastAsia="en-US"/>
        </w:rPr>
        <w:t> 855 000</w:t>
      </w:r>
      <w:r w:rsidR="00B54939" w:rsidRPr="00852019">
        <w:rPr>
          <w:rFonts w:ascii="Century" w:hAnsi="Century" w:cs="Century"/>
          <w:sz w:val="20"/>
          <w:szCs w:val="20"/>
          <w:lang w:eastAsia="en-US"/>
        </w:rPr>
        <w:t>,00 zł.</w:t>
      </w:r>
      <w:r w:rsidR="0099629F" w:rsidRPr="0099629F">
        <w:rPr>
          <w:rFonts w:ascii="Century" w:hAnsi="Century" w:cs="Arial"/>
          <w:sz w:val="20"/>
          <w:szCs w:val="20"/>
        </w:rPr>
        <w:t xml:space="preserve"> </w:t>
      </w:r>
      <w:r w:rsidR="0099629F" w:rsidRPr="00D21447">
        <w:rPr>
          <w:rFonts w:ascii="Century" w:hAnsi="Century" w:cs="Arial"/>
          <w:sz w:val="20"/>
          <w:szCs w:val="20"/>
        </w:rPr>
        <w:t xml:space="preserve">Ustalono również pozostały limit zobowiązań po uwzględnieniu dotychczas już zaciągniętych zobowiązań na to zadanie w wysokości </w:t>
      </w:r>
      <w:r w:rsidR="0099629F">
        <w:rPr>
          <w:rFonts w:ascii="Century" w:hAnsi="Century" w:cs="Arial"/>
          <w:sz w:val="20"/>
          <w:szCs w:val="20"/>
        </w:rPr>
        <w:t>9 155 000,00</w:t>
      </w:r>
      <w:r w:rsidR="0099629F" w:rsidRPr="00D21447">
        <w:rPr>
          <w:rFonts w:ascii="Century" w:hAnsi="Century" w:cs="Arial"/>
          <w:sz w:val="20"/>
          <w:szCs w:val="20"/>
        </w:rPr>
        <w:t xml:space="preserve"> zł</w:t>
      </w:r>
      <w:r w:rsidR="0099629F">
        <w:rPr>
          <w:rFonts w:ascii="Century" w:hAnsi="Century" w:cs="Arial"/>
          <w:sz w:val="20"/>
          <w:szCs w:val="20"/>
        </w:rPr>
        <w:t>.</w:t>
      </w:r>
    </w:p>
    <w:sectPr w:rsidR="006B20C6" w:rsidRPr="0099629F" w:rsidSect="004768C8">
      <w:footerReference w:type="default" r:id="rId7"/>
      <w:type w:val="oddPage"/>
      <w:pgSz w:w="11894" w:h="16834"/>
      <w:pgMar w:top="1021" w:right="1418" w:bottom="1021" w:left="1418"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5EC2" w14:textId="77777777" w:rsidR="00117DF1" w:rsidRDefault="00117DF1" w:rsidP="00A06717">
      <w:r>
        <w:separator/>
      </w:r>
    </w:p>
  </w:endnote>
  <w:endnote w:type="continuationSeparator" w:id="0">
    <w:p w14:paraId="56F5FA54" w14:textId="77777777" w:rsidR="00117DF1" w:rsidRDefault="00117DF1" w:rsidP="00A0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6781645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1B973B3C" w14:textId="5F618D4D" w:rsidR="00A06717" w:rsidRPr="00C77FCC" w:rsidRDefault="00A06717">
            <w:pPr>
              <w:pStyle w:val="Stopka"/>
              <w:jc w:val="right"/>
              <w:rPr>
                <w:sz w:val="20"/>
                <w:szCs w:val="20"/>
              </w:rPr>
            </w:pPr>
            <w:r w:rsidRPr="00C77FCC">
              <w:rPr>
                <w:sz w:val="20"/>
                <w:szCs w:val="20"/>
              </w:rPr>
              <w:t xml:space="preserve">Strona </w:t>
            </w:r>
            <w:r w:rsidRPr="00C77FCC">
              <w:rPr>
                <w:sz w:val="20"/>
                <w:szCs w:val="20"/>
              </w:rPr>
            </w:r>
            <w:r w:rsidRPr="00C77FCC">
              <w:rPr>
                <w:sz w:val="20"/>
                <w:szCs w:val="20"/>
              </w:rPr>
              <w:instrText/>
            </w:r>
            <w:r w:rsidRPr="00C77FCC">
              <w:rPr>
                <w:sz w:val="20"/>
                <w:szCs w:val="20"/>
              </w:rPr>
            </w:r>
            <w:r w:rsidRPr="00C77FCC">
              <w:rPr>
                <w:sz w:val="20"/>
                <w:szCs w:val="20"/>
              </w:rPr>
              <w:t>2</w:t>
            </w:r>
            <w:r w:rsidRPr="00C77FCC">
              <w:rPr>
                <w:sz w:val="20"/>
                <w:szCs w:val="20"/>
              </w:rPr>
            </w:r>
            <w:r w:rsidRPr="00C77FCC">
              <w:rPr>
                <w:sz w:val="20"/>
                <w:szCs w:val="20"/>
              </w:rPr>
              <w:t xml:space="preserve"> z </w:t>
            </w:r>
            <w:r w:rsidRPr="00C77FCC">
              <w:rPr>
                <w:sz w:val="20"/>
                <w:szCs w:val="20"/>
              </w:rPr>
            </w:r>
            <w:r w:rsidRPr="00C77FCC">
              <w:rPr>
                <w:sz w:val="20"/>
                <w:szCs w:val="20"/>
              </w:rPr>
              <w:instrText/>
            </w:r>
            <w:r w:rsidRPr="00C77FCC">
              <w:rPr>
                <w:sz w:val="20"/>
                <w:szCs w:val="20"/>
              </w:rPr>
            </w:r>
            <w:r w:rsidRPr="00C77FCC">
              <w:rPr>
                <w:sz w:val="20"/>
                <w:szCs w:val="20"/>
              </w:rPr>
              <w:t>2</w:t>
            </w:r>
            <w:r w:rsidRPr="00C77FCC">
              <w:rPr>
                <w:sz w:val="20"/>
                <w:szCs w:val="20"/>
              </w:rPr>
            </w:r>
          </w:p>
        </w:sdtContent>
      </w:sdt>
    </w:sdtContent>
  </w:sdt>
  <w:p w14:paraId="1D147BB8" w14:textId="77777777" w:rsidR="00A06717" w:rsidRDefault="00A067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7227" w14:textId="77777777" w:rsidR="00117DF1" w:rsidRDefault="00117DF1" w:rsidP="00A06717">
      <w:r>
        <w:separator/>
      </w:r>
    </w:p>
  </w:footnote>
  <w:footnote w:type="continuationSeparator" w:id="0">
    <w:p w14:paraId="59311CE0" w14:textId="77777777" w:rsidR="00117DF1" w:rsidRDefault="00117DF1" w:rsidP="00A0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0"/>
      </w:pPr>
      <w:rPr>
        <w:rFonts w:ascii="Century" w:hAnsi="Century" w:cs="Century"/>
        <w:b w:val="0"/>
        <w:bCs w:val="0"/>
        <w:i w:val="0"/>
        <w:iCs w:val="0"/>
        <w:strike w:val="0"/>
        <w:color w:val="000000"/>
        <w:sz w:val="22"/>
        <w:szCs w:val="22"/>
        <w:u w:val="none"/>
      </w:rPr>
    </w:lvl>
    <w:lvl w:ilvl="1">
      <w:start w:val="1"/>
      <w:numFmt w:val="decimal"/>
      <w:lvlText w:val="%2)"/>
      <w:lvlJc w:val="left"/>
      <w:pPr>
        <w:ind w:left="360"/>
      </w:pPr>
      <w:rPr>
        <w:rFonts w:ascii="Century" w:hAnsi="Century" w:cs="Century"/>
        <w:b w:val="0"/>
        <w:bCs w:val="0"/>
        <w:i w:val="0"/>
        <w:iCs w:val="0"/>
        <w:strike w:val="0"/>
        <w:color w:val="000000"/>
        <w:sz w:val="22"/>
        <w:szCs w:val="22"/>
        <w:u w:val="none"/>
      </w:rPr>
    </w:lvl>
    <w:lvl w:ilvl="2">
      <w:start w:val="1"/>
      <w:numFmt w:val="decimal"/>
      <w:lvlText w:val="%3)"/>
      <w:lvlJc w:val="left"/>
      <w:pPr>
        <w:ind w:left="720"/>
      </w:pPr>
      <w:rPr>
        <w:rFonts w:ascii="Century" w:hAnsi="Century" w:cs="Century"/>
        <w:b w:val="0"/>
        <w:bCs w:val="0"/>
        <w:i w:val="0"/>
        <w:iCs w:val="0"/>
        <w:strike w:val="0"/>
        <w:color w:val="000000"/>
        <w:sz w:val="22"/>
        <w:szCs w:val="22"/>
        <w:u w:val="none"/>
      </w:rPr>
    </w:lvl>
    <w:lvl w:ilvl="3">
      <w:start w:val="1"/>
      <w:numFmt w:val="decimal"/>
      <w:lvlText w:val="%4)"/>
      <w:lvlJc w:val="left"/>
      <w:pPr>
        <w:ind w:left="1080"/>
      </w:pPr>
      <w:rPr>
        <w:rFonts w:ascii="Century" w:hAnsi="Century" w:cs="Century"/>
        <w:b w:val="0"/>
        <w:bCs w:val="0"/>
        <w:i w:val="0"/>
        <w:iCs w:val="0"/>
        <w:strike w:val="0"/>
        <w:color w:val="000000"/>
        <w:sz w:val="22"/>
        <w:szCs w:val="22"/>
        <w:u w:val="none"/>
      </w:rPr>
    </w:lvl>
    <w:lvl w:ilvl="4">
      <w:start w:val="1"/>
      <w:numFmt w:val="decimal"/>
      <w:lvlText w:val="%5)"/>
      <w:lvlJc w:val="left"/>
      <w:pPr>
        <w:ind w:left="1440"/>
      </w:pPr>
      <w:rPr>
        <w:rFonts w:ascii="Century" w:hAnsi="Century" w:cs="Century"/>
        <w:b w:val="0"/>
        <w:bCs w:val="0"/>
        <w:i w:val="0"/>
        <w:iCs w:val="0"/>
        <w:strike w:val="0"/>
        <w:color w:val="000000"/>
        <w:sz w:val="22"/>
        <w:szCs w:val="22"/>
        <w:u w:val="none"/>
      </w:rPr>
    </w:lvl>
    <w:lvl w:ilvl="5">
      <w:start w:val="1"/>
      <w:numFmt w:val="decimal"/>
      <w:lvlText w:val="%6)"/>
      <w:lvlJc w:val="left"/>
      <w:pPr>
        <w:ind w:left="1800"/>
      </w:pPr>
      <w:rPr>
        <w:rFonts w:ascii="Century" w:hAnsi="Century" w:cs="Century"/>
        <w:b w:val="0"/>
        <w:bCs w:val="0"/>
        <w:i w:val="0"/>
        <w:iCs w:val="0"/>
        <w:strike w:val="0"/>
        <w:color w:val="000000"/>
        <w:sz w:val="22"/>
        <w:szCs w:val="22"/>
        <w:u w:val="none"/>
      </w:rPr>
    </w:lvl>
    <w:lvl w:ilvl="6">
      <w:start w:val="1"/>
      <w:numFmt w:val="decimal"/>
      <w:lvlText w:val="%7)"/>
      <w:lvlJc w:val="left"/>
      <w:pPr>
        <w:ind w:left="2160"/>
      </w:pPr>
      <w:rPr>
        <w:rFonts w:ascii="Century" w:hAnsi="Century" w:cs="Century"/>
        <w:b w:val="0"/>
        <w:bCs w:val="0"/>
        <w:i w:val="0"/>
        <w:iCs w:val="0"/>
        <w:strike w:val="0"/>
        <w:color w:val="000000"/>
        <w:sz w:val="22"/>
        <w:szCs w:val="22"/>
        <w:u w:val="none"/>
      </w:rPr>
    </w:lvl>
    <w:lvl w:ilvl="7">
      <w:start w:val="1"/>
      <w:numFmt w:val="decimal"/>
      <w:lvlText w:val="%8)"/>
      <w:lvlJc w:val="left"/>
      <w:pPr>
        <w:ind w:left="2520"/>
      </w:pPr>
      <w:rPr>
        <w:rFonts w:ascii="Century" w:hAnsi="Century" w:cs="Century"/>
        <w:b w:val="0"/>
        <w:bCs w:val="0"/>
        <w:i w:val="0"/>
        <w:iCs w:val="0"/>
        <w:strike w:val="0"/>
        <w:color w:val="000000"/>
        <w:sz w:val="22"/>
        <w:szCs w:val="22"/>
        <w:u w:val="none"/>
      </w:rPr>
    </w:lvl>
    <w:lvl w:ilvl="8">
      <w:start w:val="1"/>
      <w:numFmt w:val="decimal"/>
      <w:lvlText w:val="%9)"/>
      <w:lvlJc w:val="left"/>
      <w:pPr>
        <w:ind w:left="2880"/>
      </w:pPr>
      <w:rPr>
        <w:rFonts w:ascii="Century" w:hAnsi="Century" w:cs="Century"/>
        <w:b w:val="0"/>
        <w:bCs w:val="0"/>
        <w:i w:val="0"/>
        <w:iCs w:val="0"/>
        <w:strike w:val="0"/>
        <w:color w:val="000000"/>
        <w:sz w:val="22"/>
        <w:szCs w:val="22"/>
        <w:u w:val="none"/>
      </w:rPr>
    </w:lvl>
  </w:abstractNum>
  <w:abstractNum w:abstractNumId="1" w15:restartNumberingAfterBreak="0">
    <w:nsid w:val="011F3AB5"/>
    <w:multiLevelType w:val="hybridMultilevel"/>
    <w:tmpl w:val="CF127F0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 w15:restartNumberingAfterBreak="0">
    <w:nsid w:val="05F825D7"/>
    <w:multiLevelType w:val="hybridMultilevel"/>
    <w:tmpl w:val="6BF4D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C1F1F"/>
    <w:multiLevelType w:val="multilevel"/>
    <w:tmpl w:val="FFFFFFFF"/>
    <w:lvl w:ilvl="0">
      <w:start w:val="1"/>
      <w:numFmt w:val="decimal"/>
      <w:lvlText w:val="%1."/>
      <w:lvlJc w:val="left"/>
      <w:pPr>
        <w:ind w:left="709" w:hanging="425"/>
      </w:pPr>
    </w:lvl>
    <w:lvl w:ilvl="1">
      <w:start w:val="1"/>
      <w:numFmt w:val="decimal"/>
      <w:lvlText w:val="%1."/>
      <w:lvlJc w:val="left"/>
      <w:pPr>
        <w:ind w:left="1417" w:hanging="425"/>
      </w:pPr>
    </w:lvl>
    <w:lvl w:ilvl="2">
      <w:start w:val="1"/>
      <w:numFmt w:val="decimal"/>
      <w:lvlText w:val="%1."/>
      <w:lvlJc w:val="left"/>
      <w:pPr>
        <w:ind w:left="2126" w:hanging="425"/>
      </w:p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B538523"/>
    <w:multiLevelType w:val="multilevel"/>
    <w:tmpl w:val="FFFFFFFF"/>
    <w:lvl w:ilvl="0">
      <w:start w:val="1"/>
      <w:numFmt w:val="decimal"/>
      <w:lvlText w:val="%1."/>
      <w:lvlJc w:val="left"/>
      <w:pPr>
        <w:ind w:left="709" w:hanging="425"/>
      </w:pPr>
    </w:lvl>
    <w:lvl w:ilvl="1">
      <w:start w:val="1"/>
      <w:numFmt w:val="decimal"/>
      <w:lvlText w:val="%1."/>
      <w:lvlJc w:val="left"/>
      <w:pPr>
        <w:ind w:left="1417" w:hanging="425"/>
      </w:pPr>
    </w:lvl>
    <w:lvl w:ilvl="2">
      <w:start w:val="1"/>
      <w:numFmt w:val="decimal"/>
      <w:lvlText w:val="%1."/>
      <w:lvlJc w:val="left"/>
      <w:pPr>
        <w:ind w:left="2126" w:hanging="425"/>
      </w:p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160A43DC"/>
    <w:multiLevelType w:val="hybridMultilevel"/>
    <w:tmpl w:val="FFFFFFFF"/>
    <w:lvl w:ilvl="0" w:tplc="E19A7FD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5201BE"/>
    <w:multiLevelType w:val="hybridMultilevel"/>
    <w:tmpl w:val="0374E9E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CC31179"/>
    <w:multiLevelType w:val="hybridMultilevel"/>
    <w:tmpl w:val="214007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D2B3796"/>
    <w:multiLevelType w:val="hybridMultilevel"/>
    <w:tmpl w:val="FFFFFFFF"/>
    <w:lvl w:ilvl="0" w:tplc="0360B91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7A717C"/>
    <w:multiLevelType w:val="hybridMultilevel"/>
    <w:tmpl w:val="CD2EF3B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F596075"/>
    <w:multiLevelType w:val="hybridMultilevel"/>
    <w:tmpl w:val="751E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88895"/>
    <w:multiLevelType w:val="multilevel"/>
    <w:tmpl w:val="FFFFFFFF"/>
    <w:lvl w:ilvl="0">
      <w:start w:val="1"/>
      <w:numFmt w:val="decimal"/>
      <w:lvlText w:val="%1."/>
      <w:lvlJc w:val="left"/>
      <w:pPr>
        <w:ind w:left="709" w:hanging="425"/>
      </w:pPr>
    </w:lvl>
    <w:lvl w:ilvl="1">
      <w:start w:val="1"/>
      <w:numFmt w:val="decimal"/>
      <w:lvlText w:val="%1."/>
      <w:lvlJc w:val="left"/>
      <w:pPr>
        <w:ind w:left="1417" w:hanging="425"/>
      </w:pPr>
    </w:lvl>
    <w:lvl w:ilvl="2">
      <w:start w:val="1"/>
      <w:numFmt w:val="decimal"/>
      <w:lvlText w:val="%1."/>
      <w:lvlJc w:val="left"/>
      <w:pPr>
        <w:ind w:left="2126" w:hanging="425"/>
      </w:p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15:restartNumberingAfterBreak="0">
    <w:nsid w:val="36547BE7"/>
    <w:multiLevelType w:val="hybridMultilevel"/>
    <w:tmpl w:val="85EE6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BA4E7C"/>
    <w:multiLevelType w:val="hybridMultilevel"/>
    <w:tmpl w:val="4578A0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3670870"/>
    <w:multiLevelType w:val="hybridMultilevel"/>
    <w:tmpl w:val="BF9C678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15:restartNumberingAfterBreak="0">
    <w:nsid w:val="483B3BF7"/>
    <w:multiLevelType w:val="hybridMultilevel"/>
    <w:tmpl w:val="6A64D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CF382D"/>
    <w:multiLevelType w:val="hybridMultilevel"/>
    <w:tmpl w:val="A35CA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111BDE"/>
    <w:multiLevelType w:val="hybridMultilevel"/>
    <w:tmpl w:val="7408B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A6DF6"/>
    <w:multiLevelType w:val="hybridMultilevel"/>
    <w:tmpl w:val="7690061C"/>
    <w:lvl w:ilvl="0" w:tplc="D0F6F4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593D40"/>
    <w:multiLevelType w:val="hybridMultilevel"/>
    <w:tmpl w:val="1312118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 w15:restartNumberingAfterBreak="0">
    <w:nsid w:val="5FE2304E"/>
    <w:multiLevelType w:val="hybridMultilevel"/>
    <w:tmpl w:val="BA20D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FCC1E7"/>
    <w:multiLevelType w:val="multilevel"/>
    <w:tmpl w:val="FFFFFFFF"/>
    <w:lvl w:ilvl="0">
      <w:start w:val="1"/>
      <w:numFmt w:val="decimal"/>
      <w:lvlText w:val="%1."/>
      <w:lvlJc w:val="left"/>
      <w:pPr>
        <w:ind w:left="709" w:hanging="425"/>
      </w:pPr>
    </w:lvl>
    <w:lvl w:ilvl="1">
      <w:start w:val="1"/>
      <w:numFmt w:val="decimal"/>
      <w:lvlText w:val="%1."/>
      <w:lvlJc w:val="left"/>
      <w:pPr>
        <w:ind w:left="1417" w:hanging="425"/>
      </w:pPr>
    </w:lvl>
    <w:lvl w:ilvl="2">
      <w:start w:val="1"/>
      <w:numFmt w:val="decimal"/>
      <w:lvlText w:val="%1."/>
      <w:lvlJc w:val="left"/>
      <w:pPr>
        <w:ind w:left="2126" w:hanging="425"/>
      </w:p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632B073C"/>
    <w:multiLevelType w:val="multilevel"/>
    <w:tmpl w:val="FFFFFFFF"/>
    <w:lvl w:ilvl="0">
      <w:start w:val="1"/>
      <w:numFmt w:val="decimal"/>
      <w:lvlText w:val="%1."/>
      <w:lvlJc w:val="left"/>
      <w:pPr>
        <w:ind w:left="709" w:hanging="425"/>
      </w:pPr>
    </w:lvl>
    <w:lvl w:ilvl="1">
      <w:start w:val="1"/>
      <w:numFmt w:val="decimal"/>
      <w:lvlText w:val="%1."/>
      <w:lvlJc w:val="left"/>
      <w:pPr>
        <w:ind w:left="1417" w:hanging="425"/>
      </w:pPr>
    </w:lvl>
    <w:lvl w:ilvl="2">
      <w:start w:val="1"/>
      <w:numFmt w:val="decimal"/>
      <w:lvlText w:val="%1."/>
      <w:lvlJc w:val="left"/>
      <w:pPr>
        <w:ind w:left="2126" w:hanging="425"/>
      </w:p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15:restartNumberingAfterBreak="0">
    <w:nsid w:val="6AE7679D"/>
    <w:multiLevelType w:val="hybridMultilevel"/>
    <w:tmpl w:val="6CE85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5E6A06"/>
    <w:multiLevelType w:val="multilevel"/>
    <w:tmpl w:val="FFFFFFFF"/>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 w15:restartNumberingAfterBreak="0">
    <w:nsid w:val="781F00EB"/>
    <w:multiLevelType w:val="hybridMultilevel"/>
    <w:tmpl w:val="C1EAD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3318E3"/>
    <w:multiLevelType w:val="hybridMultilevel"/>
    <w:tmpl w:val="FFFFFFFF"/>
    <w:lvl w:ilvl="0" w:tplc="B7CA2E7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78437F45"/>
    <w:multiLevelType w:val="hybridMultilevel"/>
    <w:tmpl w:val="7BB2E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195789">
    <w:abstractNumId w:val="0"/>
  </w:num>
  <w:num w:numId="2" w16cid:durableId="1119027203">
    <w:abstractNumId w:val="16"/>
  </w:num>
  <w:num w:numId="3" w16cid:durableId="342705521">
    <w:abstractNumId w:val="18"/>
  </w:num>
  <w:num w:numId="4" w16cid:durableId="1158613837">
    <w:abstractNumId w:val="10"/>
  </w:num>
  <w:num w:numId="5" w16cid:durableId="1402023879">
    <w:abstractNumId w:val="15"/>
  </w:num>
  <w:num w:numId="6" w16cid:durableId="1532918275">
    <w:abstractNumId w:val="17"/>
  </w:num>
  <w:num w:numId="7" w16cid:durableId="1395852437">
    <w:abstractNumId w:val="2"/>
  </w:num>
  <w:num w:numId="8" w16cid:durableId="2093354312">
    <w:abstractNumId w:val="12"/>
  </w:num>
  <w:num w:numId="9" w16cid:durableId="1130900845">
    <w:abstractNumId w:val="23"/>
  </w:num>
  <w:num w:numId="10" w16cid:durableId="1526822881">
    <w:abstractNumId w:val="27"/>
  </w:num>
  <w:num w:numId="11" w16cid:durableId="2071801431">
    <w:abstractNumId w:val="20"/>
  </w:num>
  <w:num w:numId="12" w16cid:durableId="372968477">
    <w:abstractNumId w:val="6"/>
  </w:num>
  <w:num w:numId="13" w16cid:durableId="1951742040">
    <w:abstractNumId w:val="22"/>
  </w:num>
  <w:num w:numId="14" w16cid:durableId="1462457274">
    <w:abstractNumId w:val="11"/>
  </w:num>
  <w:num w:numId="15" w16cid:durableId="115762195">
    <w:abstractNumId w:val="21"/>
  </w:num>
  <w:num w:numId="16" w16cid:durableId="2041662524">
    <w:abstractNumId w:val="4"/>
  </w:num>
  <w:num w:numId="17" w16cid:durableId="981496575">
    <w:abstractNumId w:val="3"/>
  </w:num>
  <w:num w:numId="18" w16cid:durableId="159515457">
    <w:abstractNumId w:val="24"/>
  </w:num>
  <w:num w:numId="19" w16cid:durableId="1566531733">
    <w:abstractNumId w:val="25"/>
  </w:num>
  <w:num w:numId="20" w16cid:durableId="363336983">
    <w:abstractNumId w:val="13"/>
  </w:num>
  <w:num w:numId="21" w16cid:durableId="517356861">
    <w:abstractNumId w:val="7"/>
  </w:num>
  <w:num w:numId="22" w16cid:durableId="1406686024">
    <w:abstractNumId w:val="8"/>
  </w:num>
  <w:num w:numId="23" w16cid:durableId="671447053">
    <w:abstractNumId w:val="5"/>
  </w:num>
  <w:num w:numId="24" w16cid:durableId="1139305935">
    <w:abstractNumId w:val="26"/>
  </w:num>
  <w:num w:numId="25" w16cid:durableId="260381801">
    <w:abstractNumId w:val="9"/>
  </w:num>
  <w:num w:numId="26" w16cid:durableId="823743345">
    <w:abstractNumId w:val="19"/>
  </w:num>
  <w:num w:numId="27" w16cid:durableId="1155142780">
    <w:abstractNumId w:val="1"/>
  </w:num>
  <w:num w:numId="28" w16cid:durableId="9080313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6A5"/>
    <w:rsid w:val="00003DB9"/>
    <w:rsid w:val="0001267F"/>
    <w:rsid w:val="00013577"/>
    <w:rsid w:val="00031B2B"/>
    <w:rsid w:val="00035AE4"/>
    <w:rsid w:val="000407EB"/>
    <w:rsid w:val="00047CF6"/>
    <w:rsid w:val="00051126"/>
    <w:rsid w:val="0006231B"/>
    <w:rsid w:val="00070F64"/>
    <w:rsid w:val="000770F6"/>
    <w:rsid w:val="00077F2E"/>
    <w:rsid w:val="00080498"/>
    <w:rsid w:val="00091783"/>
    <w:rsid w:val="00092185"/>
    <w:rsid w:val="0009328A"/>
    <w:rsid w:val="00097A50"/>
    <w:rsid w:val="000A2372"/>
    <w:rsid w:val="000A4C2B"/>
    <w:rsid w:val="000B4FDB"/>
    <w:rsid w:val="000B6363"/>
    <w:rsid w:val="000B6BE2"/>
    <w:rsid w:val="000C3BC3"/>
    <w:rsid w:val="000F6E76"/>
    <w:rsid w:val="00101719"/>
    <w:rsid w:val="00106761"/>
    <w:rsid w:val="00106C46"/>
    <w:rsid w:val="00113DCB"/>
    <w:rsid w:val="00117DF1"/>
    <w:rsid w:val="001369C8"/>
    <w:rsid w:val="00137F32"/>
    <w:rsid w:val="001469C2"/>
    <w:rsid w:val="00155C8D"/>
    <w:rsid w:val="00157CF5"/>
    <w:rsid w:val="0018345F"/>
    <w:rsid w:val="00183544"/>
    <w:rsid w:val="00186D65"/>
    <w:rsid w:val="00195113"/>
    <w:rsid w:val="001A1AD2"/>
    <w:rsid w:val="001A3ABB"/>
    <w:rsid w:val="001B47C4"/>
    <w:rsid w:val="001B5850"/>
    <w:rsid w:val="001C2F42"/>
    <w:rsid w:val="001C728F"/>
    <w:rsid w:val="001D2A53"/>
    <w:rsid w:val="001D5E3F"/>
    <w:rsid w:val="001E7AA5"/>
    <w:rsid w:val="00214F7F"/>
    <w:rsid w:val="00217BF9"/>
    <w:rsid w:val="002224C0"/>
    <w:rsid w:val="00226D2E"/>
    <w:rsid w:val="00233AEC"/>
    <w:rsid w:val="002357CE"/>
    <w:rsid w:val="002506D0"/>
    <w:rsid w:val="0025498C"/>
    <w:rsid w:val="00261977"/>
    <w:rsid w:val="00261C41"/>
    <w:rsid w:val="00265799"/>
    <w:rsid w:val="002B1CA0"/>
    <w:rsid w:val="002B5B0C"/>
    <w:rsid w:val="002C31E3"/>
    <w:rsid w:val="002C3ADB"/>
    <w:rsid w:val="002C57A1"/>
    <w:rsid w:val="002E0605"/>
    <w:rsid w:val="00306332"/>
    <w:rsid w:val="00314F32"/>
    <w:rsid w:val="00315731"/>
    <w:rsid w:val="00325398"/>
    <w:rsid w:val="00352ACF"/>
    <w:rsid w:val="00364198"/>
    <w:rsid w:val="00381B7D"/>
    <w:rsid w:val="003908E0"/>
    <w:rsid w:val="003946AF"/>
    <w:rsid w:val="003B7531"/>
    <w:rsid w:val="003C1258"/>
    <w:rsid w:val="003D15E1"/>
    <w:rsid w:val="003E7AEC"/>
    <w:rsid w:val="003F022A"/>
    <w:rsid w:val="003F46D5"/>
    <w:rsid w:val="004039C4"/>
    <w:rsid w:val="00407CB6"/>
    <w:rsid w:val="00411517"/>
    <w:rsid w:val="00413937"/>
    <w:rsid w:val="00416F22"/>
    <w:rsid w:val="00423B5D"/>
    <w:rsid w:val="004246A5"/>
    <w:rsid w:val="0043625B"/>
    <w:rsid w:val="004635CD"/>
    <w:rsid w:val="00464150"/>
    <w:rsid w:val="00465064"/>
    <w:rsid w:val="004768C8"/>
    <w:rsid w:val="004825F9"/>
    <w:rsid w:val="004830BE"/>
    <w:rsid w:val="004935AA"/>
    <w:rsid w:val="00493ED1"/>
    <w:rsid w:val="00496AE9"/>
    <w:rsid w:val="004A1F2F"/>
    <w:rsid w:val="004A382B"/>
    <w:rsid w:val="004A653E"/>
    <w:rsid w:val="004B2D53"/>
    <w:rsid w:val="004B5859"/>
    <w:rsid w:val="004C0947"/>
    <w:rsid w:val="004C3928"/>
    <w:rsid w:val="004D13CB"/>
    <w:rsid w:val="0050746B"/>
    <w:rsid w:val="005075F2"/>
    <w:rsid w:val="00514258"/>
    <w:rsid w:val="005243FC"/>
    <w:rsid w:val="005360EE"/>
    <w:rsid w:val="00543E17"/>
    <w:rsid w:val="005513FD"/>
    <w:rsid w:val="00563EC1"/>
    <w:rsid w:val="005B377F"/>
    <w:rsid w:val="005C306C"/>
    <w:rsid w:val="005F1308"/>
    <w:rsid w:val="005F38E8"/>
    <w:rsid w:val="00607BEF"/>
    <w:rsid w:val="00611D83"/>
    <w:rsid w:val="00617F36"/>
    <w:rsid w:val="00624BB1"/>
    <w:rsid w:val="00632522"/>
    <w:rsid w:val="0064128D"/>
    <w:rsid w:val="0065431F"/>
    <w:rsid w:val="00654C5B"/>
    <w:rsid w:val="00665B7B"/>
    <w:rsid w:val="00670259"/>
    <w:rsid w:val="0067036B"/>
    <w:rsid w:val="00684197"/>
    <w:rsid w:val="00684CB2"/>
    <w:rsid w:val="00694C6C"/>
    <w:rsid w:val="006A6205"/>
    <w:rsid w:val="006A64A5"/>
    <w:rsid w:val="006A64C4"/>
    <w:rsid w:val="006A798E"/>
    <w:rsid w:val="006B20C6"/>
    <w:rsid w:val="006C35CF"/>
    <w:rsid w:val="006C664B"/>
    <w:rsid w:val="006D128A"/>
    <w:rsid w:val="006D16B1"/>
    <w:rsid w:val="006D3D24"/>
    <w:rsid w:val="006F5E5F"/>
    <w:rsid w:val="006F65D0"/>
    <w:rsid w:val="00701D6D"/>
    <w:rsid w:val="00701E6B"/>
    <w:rsid w:val="007148FD"/>
    <w:rsid w:val="00734BC0"/>
    <w:rsid w:val="007362AA"/>
    <w:rsid w:val="00740915"/>
    <w:rsid w:val="0076556F"/>
    <w:rsid w:val="007752BC"/>
    <w:rsid w:val="007827AF"/>
    <w:rsid w:val="0078579C"/>
    <w:rsid w:val="007867AF"/>
    <w:rsid w:val="007979E1"/>
    <w:rsid w:val="007A18B6"/>
    <w:rsid w:val="007A3B69"/>
    <w:rsid w:val="007D0C92"/>
    <w:rsid w:val="007E381F"/>
    <w:rsid w:val="007E4ABF"/>
    <w:rsid w:val="007E56D3"/>
    <w:rsid w:val="007F4C01"/>
    <w:rsid w:val="008058C8"/>
    <w:rsid w:val="00816753"/>
    <w:rsid w:val="008213EF"/>
    <w:rsid w:val="00837FE3"/>
    <w:rsid w:val="00841511"/>
    <w:rsid w:val="00841CC1"/>
    <w:rsid w:val="0084227C"/>
    <w:rsid w:val="00851EA4"/>
    <w:rsid w:val="0085590F"/>
    <w:rsid w:val="00887E00"/>
    <w:rsid w:val="008A7C8B"/>
    <w:rsid w:val="008B1AC5"/>
    <w:rsid w:val="008B45CB"/>
    <w:rsid w:val="008C2FE2"/>
    <w:rsid w:val="008D0E93"/>
    <w:rsid w:val="008D1E84"/>
    <w:rsid w:val="008E655B"/>
    <w:rsid w:val="009070BC"/>
    <w:rsid w:val="00910E1F"/>
    <w:rsid w:val="00923DAE"/>
    <w:rsid w:val="009325C5"/>
    <w:rsid w:val="00934D63"/>
    <w:rsid w:val="00937156"/>
    <w:rsid w:val="0094604E"/>
    <w:rsid w:val="00946D51"/>
    <w:rsid w:val="0096437E"/>
    <w:rsid w:val="00973955"/>
    <w:rsid w:val="0098519E"/>
    <w:rsid w:val="0099629F"/>
    <w:rsid w:val="009C0701"/>
    <w:rsid w:val="009C0916"/>
    <w:rsid w:val="009E0220"/>
    <w:rsid w:val="009E2AF5"/>
    <w:rsid w:val="009F05B2"/>
    <w:rsid w:val="009F17D6"/>
    <w:rsid w:val="009F3580"/>
    <w:rsid w:val="00A06717"/>
    <w:rsid w:val="00A118F2"/>
    <w:rsid w:val="00A12DE5"/>
    <w:rsid w:val="00A14BF3"/>
    <w:rsid w:val="00A36A5F"/>
    <w:rsid w:val="00A4343F"/>
    <w:rsid w:val="00A640E7"/>
    <w:rsid w:val="00A65776"/>
    <w:rsid w:val="00A6588F"/>
    <w:rsid w:val="00A80F70"/>
    <w:rsid w:val="00A83400"/>
    <w:rsid w:val="00AB1580"/>
    <w:rsid w:val="00AD562E"/>
    <w:rsid w:val="00AD77D2"/>
    <w:rsid w:val="00AF5B98"/>
    <w:rsid w:val="00B03863"/>
    <w:rsid w:val="00B04CBD"/>
    <w:rsid w:val="00B05D6E"/>
    <w:rsid w:val="00B35BFA"/>
    <w:rsid w:val="00B54939"/>
    <w:rsid w:val="00B72359"/>
    <w:rsid w:val="00B72DD2"/>
    <w:rsid w:val="00B76B2D"/>
    <w:rsid w:val="00B81A61"/>
    <w:rsid w:val="00B962A6"/>
    <w:rsid w:val="00BA073B"/>
    <w:rsid w:val="00BA1D61"/>
    <w:rsid w:val="00BA7663"/>
    <w:rsid w:val="00BB07F9"/>
    <w:rsid w:val="00BC1FA9"/>
    <w:rsid w:val="00BC5EF4"/>
    <w:rsid w:val="00BE1DB7"/>
    <w:rsid w:val="00BE42C2"/>
    <w:rsid w:val="00BE5D77"/>
    <w:rsid w:val="00BE610E"/>
    <w:rsid w:val="00BF6195"/>
    <w:rsid w:val="00C02665"/>
    <w:rsid w:val="00C3011B"/>
    <w:rsid w:val="00C30DD6"/>
    <w:rsid w:val="00C360E2"/>
    <w:rsid w:val="00C6628D"/>
    <w:rsid w:val="00C703DD"/>
    <w:rsid w:val="00C72D08"/>
    <w:rsid w:val="00C7389C"/>
    <w:rsid w:val="00C76C0D"/>
    <w:rsid w:val="00C77FCC"/>
    <w:rsid w:val="00C841BC"/>
    <w:rsid w:val="00C924EB"/>
    <w:rsid w:val="00C93169"/>
    <w:rsid w:val="00CA5801"/>
    <w:rsid w:val="00CC3121"/>
    <w:rsid w:val="00CC5114"/>
    <w:rsid w:val="00CD2FD3"/>
    <w:rsid w:val="00CD3FDB"/>
    <w:rsid w:val="00CE4492"/>
    <w:rsid w:val="00D03987"/>
    <w:rsid w:val="00D07BF4"/>
    <w:rsid w:val="00D21447"/>
    <w:rsid w:val="00D24E83"/>
    <w:rsid w:val="00D27F49"/>
    <w:rsid w:val="00D32D4F"/>
    <w:rsid w:val="00D337C8"/>
    <w:rsid w:val="00D368B5"/>
    <w:rsid w:val="00D40E9F"/>
    <w:rsid w:val="00D41874"/>
    <w:rsid w:val="00D45969"/>
    <w:rsid w:val="00D5499B"/>
    <w:rsid w:val="00D6396C"/>
    <w:rsid w:val="00D65F5F"/>
    <w:rsid w:val="00D71F29"/>
    <w:rsid w:val="00D8427D"/>
    <w:rsid w:val="00D842E1"/>
    <w:rsid w:val="00D8768F"/>
    <w:rsid w:val="00D903E8"/>
    <w:rsid w:val="00D9343A"/>
    <w:rsid w:val="00D96659"/>
    <w:rsid w:val="00DA2F6C"/>
    <w:rsid w:val="00DC35AD"/>
    <w:rsid w:val="00DD06D6"/>
    <w:rsid w:val="00DE0CC2"/>
    <w:rsid w:val="00DE64B0"/>
    <w:rsid w:val="00E00589"/>
    <w:rsid w:val="00E11A75"/>
    <w:rsid w:val="00E16F61"/>
    <w:rsid w:val="00E20478"/>
    <w:rsid w:val="00E64BFB"/>
    <w:rsid w:val="00E71BF8"/>
    <w:rsid w:val="00E92206"/>
    <w:rsid w:val="00E94DC3"/>
    <w:rsid w:val="00EA6363"/>
    <w:rsid w:val="00EB0EC6"/>
    <w:rsid w:val="00EB2DB0"/>
    <w:rsid w:val="00EB3599"/>
    <w:rsid w:val="00EC1A3A"/>
    <w:rsid w:val="00ED59C9"/>
    <w:rsid w:val="00EF0FA6"/>
    <w:rsid w:val="00EF3127"/>
    <w:rsid w:val="00F04902"/>
    <w:rsid w:val="00F058E3"/>
    <w:rsid w:val="00F05E68"/>
    <w:rsid w:val="00F14BF6"/>
    <w:rsid w:val="00F24406"/>
    <w:rsid w:val="00F255F9"/>
    <w:rsid w:val="00F30116"/>
    <w:rsid w:val="00F370B7"/>
    <w:rsid w:val="00F37753"/>
    <w:rsid w:val="00F41FBD"/>
    <w:rsid w:val="00F42FA3"/>
    <w:rsid w:val="00F46067"/>
    <w:rsid w:val="00F50D47"/>
    <w:rsid w:val="00F50DE4"/>
    <w:rsid w:val="00F56244"/>
    <w:rsid w:val="00F64190"/>
    <w:rsid w:val="00F751A0"/>
    <w:rsid w:val="00F81D53"/>
    <w:rsid w:val="00F8519E"/>
    <w:rsid w:val="00F907FB"/>
    <w:rsid w:val="00FA533E"/>
    <w:rsid w:val="00FA5958"/>
    <w:rsid w:val="00FE0022"/>
    <w:rsid w:val="00FF167E"/>
    <w:rsid w:val="00FF6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1B006"/>
  <w15:docId w15:val="{827E958C-131B-4CFF-869D-537B218D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0E2"/>
    <w:rPr>
      <w:sz w:val="24"/>
      <w:szCs w:val="24"/>
      <w:lang w:eastAsia="pl-PL"/>
    </w:rPr>
  </w:style>
  <w:style w:type="paragraph" w:styleId="Nagwek1">
    <w:name w:val="heading 1"/>
    <w:basedOn w:val="Normalny"/>
    <w:next w:val="Normalny"/>
    <w:link w:val="Nagwek1Znak"/>
    <w:uiPriority w:val="99"/>
    <w:qFormat/>
    <w:rsid w:val="007E56D3"/>
    <w:pPr>
      <w:widowControl w:val="0"/>
      <w:autoSpaceDE w:val="0"/>
      <w:autoSpaceDN w:val="0"/>
      <w:adjustRightInd w:val="0"/>
      <w:spacing w:before="160"/>
      <w:contextualSpacing/>
      <w:outlineLvl w:val="0"/>
    </w:pPr>
    <w:rPr>
      <w:rFonts w:ascii="Arial" w:eastAsiaTheme="minorEastAsia" w:hAnsi="Arial" w:cs="Arial"/>
      <w:bCs/>
      <w:szCs w:val="28"/>
    </w:rPr>
  </w:style>
  <w:style w:type="paragraph" w:styleId="Nagwek2">
    <w:name w:val="heading 2"/>
    <w:basedOn w:val="Normalny"/>
    <w:next w:val="Normalny"/>
    <w:link w:val="Nagwek2Znak"/>
    <w:semiHidden/>
    <w:unhideWhenUsed/>
    <w:qFormat/>
    <w:rsid w:val="007E5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7E56D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7CF5"/>
    <w:rPr>
      <w:rFonts w:ascii="Tahoma" w:hAnsi="Tahoma" w:cs="Tahoma"/>
      <w:sz w:val="16"/>
      <w:szCs w:val="16"/>
    </w:rPr>
  </w:style>
  <w:style w:type="character" w:customStyle="1" w:styleId="TekstdymkaZnak">
    <w:name w:val="Tekst dymka Znak"/>
    <w:basedOn w:val="Domylnaczcionkaakapitu"/>
    <w:link w:val="Tekstdymka"/>
    <w:uiPriority w:val="99"/>
    <w:semiHidden/>
    <w:rsid w:val="00157CF5"/>
    <w:rPr>
      <w:rFonts w:ascii="Tahoma" w:hAnsi="Tahoma" w:cs="Tahoma"/>
      <w:sz w:val="16"/>
      <w:szCs w:val="16"/>
      <w:lang w:eastAsia="pl-PL"/>
    </w:rPr>
  </w:style>
  <w:style w:type="paragraph" w:styleId="Akapitzlist">
    <w:name w:val="List Paragraph"/>
    <w:basedOn w:val="Normalny"/>
    <w:uiPriority w:val="99"/>
    <w:qFormat/>
    <w:rsid w:val="00003DB9"/>
    <w:pPr>
      <w:ind w:left="720"/>
      <w:contextualSpacing/>
    </w:pPr>
  </w:style>
  <w:style w:type="character" w:customStyle="1" w:styleId="Nagwek1Znak">
    <w:name w:val="Nagłówek 1 Znak"/>
    <w:basedOn w:val="Domylnaczcionkaakapitu"/>
    <w:link w:val="Nagwek1"/>
    <w:uiPriority w:val="9"/>
    <w:rsid w:val="007E56D3"/>
    <w:rPr>
      <w:rFonts w:ascii="Arial" w:eastAsiaTheme="minorEastAsia" w:hAnsi="Arial" w:cs="Arial"/>
      <w:bCs/>
      <w:sz w:val="24"/>
      <w:szCs w:val="28"/>
      <w:lang w:eastAsia="pl-PL"/>
    </w:rPr>
  </w:style>
  <w:style w:type="character" w:customStyle="1" w:styleId="Nagwek2Znak">
    <w:name w:val="Nagłówek 2 Znak"/>
    <w:basedOn w:val="Domylnaczcionkaakapitu"/>
    <w:link w:val="Nagwek2"/>
    <w:semiHidden/>
    <w:rsid w:val="007E56D3"/>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semiHidden/>
    <w:rsid w:val="007E56D3"/>
    <w:rPr>
      <w:rFonts w:asciiTheme="majorHAnsi" w:eastAsiaTheme="majorEastAsia" w:hAnsiTheme="majorHAnsi" w:cstheme="majorBidi"/>
      <w:color w:val="243F60" w:themeColor="accent1" w:themeShade="7F"/>
      <w:sz w:val="24"/>
      <w:szCs w:val="24"/>
      <w:lang w:eastAsia="pl-PL"/>
    </w:rPr>
  </w:style>
  <w:style w:type="paragraph" w:customStyle="1" w:styleId="TablePostscriptum">
    <w:name w:val="Table Postscriptum"/>
    <w:basedOn w:val="Normalny"/>
    <w:uiPriority w:val="99"/>
    <w:rsid w:val="007E56D3"/>
    <w:pPr>
      <w:widowControl w:val="0"/>
      <w:autoSpaceDE w:val="0"/>
      <w:autoSpaceDN w:val="0"/>
      <w:adjustRightInd w:val="0"/>
      <w:contextualSpacing/>
    </w:pPr>
    <w:rPr>
      <w:rFonts w:ascii="Arial" w:eastAsiaTheme="minorEastAsia" w:hAnsi="Arial" w:cs="Arial"/>
      <w:szCs w:val="20"/>
    </w:rPr>
  </w:style>
  <w:style w:type="paragraph" w:customStyle="1" w:styleId="TableCaption">
    <w:name w:val="Table Caption"/>
    <w:basedOn w:val="Normalny"/>
    <w:uiPriority w:val="99"/>
    <w:rsid w:val="007E56D3"/>
    <w:pPr>
      <w:widowControl w:val="0"/>
      <w:autoSpaceDE w:val="0"/>
      <w:autoSpaceDN w:val="0"/>
      <w:adjustRightInd w:val="0"/>
      <w:spacing w:before="160"/>
    </w:pPr>
    <w:rPr>
      <w:rFonts w:ascii="Arial" w:eastAsiaTheme="minorEastAsia" w:hAnsi="Arial" w:cs="Arial"/>
      <w:bCs/>
      <w:szCs w:val="20"/>
    </w:rPr>
  </w:style>
  <w:style w:type="paragraph" w:customStyle="1" w:styleId="TableHeading">
    <w:name w:val="Table Heading"/>
    <w:basedOn w:val="Normalny"/>
    <w:uiPriority w:val="99"/>
    <w:rsid w:val="007E56D3"/>
    <w:pPr>
      <w:widowControl w:val="0"/>
      <w:autoSpaceDE w:val="0"/>
      <w:autoSpaceDN w:val="0"/>
      <w:adjustRightInd w:val="0"/>
    </w:pPr>
    <w:rPr>
      <w:rFonts w:ascii="Arial" w:eastAsiaTheme="minorEastAsia" w:hAnsi="Arial" w:cs="Arial"/>
      <w:bCs/>
      <w:szCs w:val="20"/>
    </w:rPr>
  </w:style>
  <w:style w:type="paragraph" w:customStyle="1" w:styleId="TableCell">
    <w:name w:val="Table Cell"/>
    <w:basedOn w:val="Normalny"/>
    <w:uiPriority w:val="99"/>
    <w:rsid w:val="007E56D3"/>
    <w:pPr>
      <w:widowControl w:val="0"/>
      <w:autoSpaceDE w:val="0"/>
      <w:autoSpaceDN w:val="0"/>
      <w:adjustRightInd w:val="0"/>
    </w:pPr>
    <w:rPr>
      <w:rFonts w:ascii="Arial" w:eastAsiaTheme="minorEastAsia" w:hAnsi="Arial" w:cs="Arial"/>
      <w:szCs w:val="20"/>
    </w:rPr>
  </w:style>
  <w:style w:type="table" w:styleId="Tabela-Prosty1">
    <w:name w:val="Table Simple 1"/>
    <w:basedOn w:val="Standardowy"/>
    <w:uiPriority w:val="99"/>
    <w:rsid w:val="007E56D3"/>
    <w:pPr>
      <w:widowControl w:val="0"/>
      <w:autoSpaceDE w:val="0"/>
      <w:autoSpaceDN w:val="0"/>
      <w:adjustRightInd w:val="0"/>
    </w:pPr>
    <w:rPr>
      <w:rFonts w:asciiTheme="minorHAnsi" w:eastAsiaTheme="minorEastAsia" w:hAnsiTheme="minorHAnsi"/>
      <w:sz w:val="24"/>
      <w:szCs w:val="22"/>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podstawowy">
    <w:name w:val="Body Text"/>
    <w:basedOn w:val="Normalny"/>
    <w:link w:val="TekstpodstawowyZnak"/>
    <w:semiHidden/>
    <w:rsid w:val="00887E00"/>
    <w:pPr>
      <w:spacing w:line="360" w:lineRule="auto"/>
      <w:jc w:val="both"/>
    </w:pPr>
    <w:rPr>
      <w:rFonts w:ascii="Arial" w:hAnsi="Arial" w:cs="Arial"/>
      <w:sz w:val="20"/>
    </w:rPr>
  </w:style>
  <w:style w:type="character" w:customStyle="1" w:styleId="TekstpodstawowyZnak">
    <w:name w:val="Tekst podstawowy Znak"/>
    <w:basedOn w:val="Domylnaczcionkaakapitu"/>
    <w:link w:val="Tekstpodstawowy"/>
    <w:semiHidden/>
    <w:rsid w:val="00887E00"/>
    <w:rPr>
      <w:rFonts w:ascii="Arial" w:hAnsi="Arial" w:cs="Arial"/>
      <w:szCs w:val="24"/>
      <w:lang w:eastAsia="pl-PL"/>
    </w:rPr>
  </w:style>
  <w:style w:type="paragraph" w:styleId="Nagwek">
    <w:name w:val="header"/>
    <w:basedOn w:val="Normalny"/>
    <w:link w:val="NagwekZnak"/>
    <w:uiPriority w:val="99"/>
    <w:unhideWhenUsed/>
    <w:rsid w:val="00A06717"/>
    <w:pPr>
      <w:tabs>
        <w:tab w:val="center" w:pos="4536"/>
        <w:tab w:val="right" w:pos="9072"/>
      </w:tabs>
    </w:pPr>
  </w:style>
  <w:style w:type="character" w:customStyle="1" w:styleId="NagwekZnak">
    <w:name w:val="Nagłówek Znak"/>
    <w:basedOn w:val="Domylnaczcionkaakapitu"/>
    <w:link w:val="Nagwek"/>
    <w:uiPriority w:val="99"/>
    <w:rsid w:val="00A06717"/>
    <w:rPr>
      <w:sz w:val="24"/>
      <w:szCs w:val="24"/>
      <w:lang w:eastAsia="pl-PL"/>
    </w:rPr>
  </w:style>
  <w:style w:type="paragraph" w:styleId="Stopka">
    <w:name w:val="footer"/>
    <w:basedOn w:val="Normalny"/>
    <w:link w:val="StopkaZnak"/>
    <w:uiPriority w:val="99"/>
    <w:unhideWhenUsed/>
    <w:rsid w:val="00A06717"/>
    <w:pPr>
      <w:tabs>
        <w:tab w:val="center" w:pos="4536"/>
        <w:tab w:val="right" w:pos="9072"/>
      </w:tabs>
    </w:pPr>
  </w:style>
  <w:style w:type="character" w:customStyle="1" w:styleId="StopkaZnak">
    <w:name w:val="Stopka Znak"/>
    <w:basedOn w:val="Domylnaczcionkaakapitu"/>
    <w:link w:val="Stopka"/>
    <w:uiPriority w:val="99"/>
    <w:rsid w:val="00A06717"/>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1361</TotalTime>
  <Pages>12</Pages>
  <Words>4352</Words>
  <Characters>26115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Kopeć</dc:creator>
  <cp:keywords/>
  <dc:description/>
  <cp:lastModifiedBy>Renata Kopec</cp:lastModifiedBy>
  <cp:revision>244</cp:revision>
  <cp:lastPrinted>2022-11-20T20:59:00Z</cp:lastPrinted>
  <dcterms:created xsi:type="dcterms:W3CDTF">2014-11-17T10:32:00Z</dcterms:created>
  <dcterms:modified xsi:type="dcterms:W3CDTF">2022-12-19T22:40:00Z</dcterms:modified>
</cp:coreProperties>
</file>